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C5C02" w14:textId="77777777" w:rsidR="004D4F7E" w:rsidRDefault="004D4F7E" w:rsidP="00C643AE">
      <w:pPr>
        <w:spacing w:line="480" w:lineRule="auto"/>
        <w:rPr>
          <w:rFonts w:ascii="黑体" w:eastAsia="黑体" w:hAnsi="黑体" w:cs="黑体" w:hint="eastAsia"/>
          <w:b/>
          <w:bCs/>
          <w:color w:val="000000"/>
          <w:kern w:val="0"/>
          <w:sz w:val="52"/>
          <w:szCs w:val="52"/>
        </w:rPr>
      </w:pPr>
    </w:p>
    <w:p w14:paraId="3A0DE12F" w14:textId="77777777" w:rsidR="00C643AE" w:rsidRDefault="00C643AE" w:rsidP="00C643AE">
      <w:pPr>
        <w:ind w:firstLineChars="393" w:firstLine="2052"/>
        <w:jc w:val="center"/>
        <w:rPr>
          <w:rFonts w:ascii="黑体" w:eastAsia="黑体" w:hAnsi="黑体" w:cs="黑体"/>
          <w:b/>
          <w:bCs/>
          <w:color w:val="000000"/>
          <w:kern w:val="0"/>
          <w:sz w:val="52"/>
          <w:szCs w:val="52"/>
        </w:rPr>
      </w:pPr>
      <w:r w:rsidRPr="00C643AE">
        <w:rPr>
          <w:rFonts w:ascii="黑体" w:eastAsia="黑体" w:hAnsi="黑体" w:cs="黑体" w:hint="eastAsia"/>
          <w:b/>
          <w:bCs/>
          <w:color w:val="000000"/>
          <w:kern w:val="0"/>
          <w:sz w:val="52"/>
          <w:szCs w:val="52"/>
        </w:rPr>
        <w:t>企业内部控制</w:t>
      </w:r>
    </w:p>
    <w:p w14:paraId="192D3535" w14:textId="77777777" w:rsidR="00C643AE" w:rsidRPr="00C643AE" w:rsidRDefault="00C643AE" w:rsidP="00C643AE">
      <w:pPr>
        <w:ind w:firstLineChars="393" w:firstLine="1420"/>
        <w:jc w:val="center"/>
        <w:rPr>
          <w:rFonts w:ascii="黑体" w:eastAsia="黑体" w:hAnsi="黑体" w:cs="黑体"/>
          <w:b/>
          <w:bCs/>
          <w:color w:val="000000"/>
          <w:kern w:val="0"/>
          <w:sz w:val="36"/>
          <w:szCs w:val="36"/>
        </w:rPr>
      </w:pPr>
      <w:r w:rsidRPr="00C643AE">
        <w:rPr>
          <w:rFonts w:ascii="黑体" w:eastAsia="黑体" w:hAnsi="黑体" w:cs="黑体"/>
          <w:b/>
          <w:bCs/>
          <w:color w:val="000000"/>
          <w:kern w:val="0"/>
          <w:sz w:val="36"/>
          <w:szCs w:val="36"/>
        </w:rPr>
        <w:t>Enterprise Internal Control</w:t>
      </w:r>
    </w:p>
    <w:p w14:paraId="33469598" w14:textId="77777777" w:rsidR="00C643AE" w:rsidRDefault="00C643AE" w:rsidP="00C643AE">
      <w:pPr>
        <w:ind w:firstLineChars="393" w:firstLine="2052"/>
        <w:jc w:val="center"/>
        <w:rPr>
          <w:rFonts w:ascii="黑体" w:eastAsia="黑体" w:hAnsi="黑体" w:cs="黑体"/>
          <w:b/>
          <w:bCs/>
          <w:color w:val="000000"/>
          <w:kern w:val="0"/>
          <w:sz w:val="52"/>
          <w:szCs w:val="52"/>
        </w:rPr>
      </w:pPr>
      <w:r w:rsidRPr="00C643AE">
        <w:rPr>
          <w:rFonts w:ascii="黑体" w:eastAsia="黑体" w:hAnsi="黑体" w:cs="黑体"/>
          <w:b/>
          <w:bCs/>
          <w:color w:val="000000"/>
          <w:kern w:val="0"/>
          <w:sz w:val="52"/>
          <w:szCs w:val="52"/>
        </w:rPr>
        <w:t>教学使用案例集</w:t>
      </w:r>
    </w:p>
    <w:p w14:paraId="33DC001B" w14:textId="765EF0BE" w:rsidR="004D4F7E" w:rsidRPr="00C643AE" w:rsidRDefault="00C643AE" w:rsidP="00C643AE">
      <w:pPr>
        <w:ind w:firstLineChars="393" w:firstLine="1420"/>
        <w:jc w:val="center"/>
        <w:rPr>
          <w:rFonts w:ascii="黑体" w:eastAsia="黑体" w:hAnsi="黑体" w:cs="黑体"/>
          <w:b/>
          <w:bCs/>
          <w:color w:val="000000"/>
          <w:kern w:val="0"/>
          <w:sz w:val="36"/>
          <w:szCs w:val="36"/>
        </w:rPr>
      </w:pPr>
      <w:r w:rsidRPr="00C643AE">
        <w:rPr>
          <w:rFonts w:ascii="黑体" w:eastAsia="黑体" w:hAnsi="黑体" w:cs="黑体"/>
          <w:b/>
          <w:bCs/>
          <w:color w:val="000000"/>
          <w:kern w:val="0"/>
          <w:sz w:val="36"/>
          <w:szCs w:val="36"/>
        </w:rPr>
        <w:t>（中国经济管理大学32学时）</w:t>
      </w:r>
    </w:p>
    <w:p w14:paraId="7E80AC94" w14:textId="77777777" w:rsidR="004D4F7E" w:rsidRPr="004D4F7E" w:rsidRDefault="004D4F7E" w:rsidP="004D4F7E">
      <w:pPr>
        <w:jc w:val="center"/>
        <w:rPr>
          <w:rFonts w:ascii="仿宋" w:eastAsia="仿宋" w:hAnsi="仿宋"/>
          <w:b/>
          <w:bCs/>
          <w:color w:val="000000"/>
          <w:kern w:val="0"/>
          <w:sz w:val="28"/>
          <w:szCs w:val="36"/>
        </w:rPr>
      </w:pPr>
    </w:p>
    <w:p w14:paraId="4C4AD558" w14:textId="73FB3348" w:rsidR="004D4F7E" w:rsidRPr="004D4F7E" w:rsidRDefault="00C643AE" w:rsidP="004D4F7E">
      <w:pPr>
        <w:pStyle w:val="1"/>
        <w:jc w:val="center"/>
        <w:rPr>
          <w:rFonts w:ascii="黑体" w:eastAsia="黑体" w:hAnsi="黑体"/>
          <w:sz w:val="32"/>
          <w:szCs w:val="32"/>
        </w:rPr>
      </w:pPr>
      <w:r>
        <w:rPr>
          <w:rFonts w:ascii="黑体" w:eastAsia="黑体" w:hAnsi="黑体"/>
          <w:noProof/>
          <w:sz w:val="32"/>
          <w:szCs w:val="32"/>
        </w:rPr>
        <w:drawing>
          <wp:inline distT="0" distB="0" distL="0" distR="0" wp14:anchorId="06EB3C28" wp14:editId="0FC44E86">
            <wp:extent cx="5274310" cy="4431030"/>
            <wp:effectExtent l="0" t="0" r="2540" b="7620"/>
            <wp:docPr id="1586748485"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48485" name="图片 1" descr="文本&#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5274310" cy="4431030"/>
                    </a:xfrm>
                    <a:prstGeom prst="rect">
                      <a:avLst/>
                    </a:prstGeom>
                  </pic:spPr>
                </pic:pic>
              </a:graphicData>
            </a:graphic>
          </wp:inline>
        </w:drawing>
      </w:r>
    </w:p>
    <w:p w14:paraId="371D739E" w14:textId="77777777" w:rsidR="004D4F7E" w:rsidRDefault="004D4F7E" w:rsidP="004D4F7E">
      <w:pPr>
        <w:pStyle w:val="1"/>
        <w:jc w:val="center"/>
        <w:rPr>
          <w:rFonts w:ascii="黑体" w:eastAsia="黑体" w:hAnsi="黑体"/>
          <w:sz w:val="32"/>
          <w:szCs w:val="32"/>
        </w:rPr>
        <w:sectPr w:rsidR="004D4F7E">
          <w:footerReference w:type="default" r:id="rId9"/>
          <w:footerReference w:type="first" r:id="rId10"/>
          <w:pgSz w:w="11906" w:h="16838"/>
          <w:pgMar w:top="1440" w:right="1800" w:bottom="1440" w:left="1800" w:header="851" w:footer="992" w:gutter="0"/>
          <w:cols w:space="425"/>
          <w:docGrid w:type="lines" w:linePitch="312"/>
        </w:sectPr>
      </w:pPr>
    </w:p>
    <w:p w14:paraId="51402DBD" w14:textId="149BF8AB" w:rsidR="008A6087" w:rsidRDefault="004D4F7E" w:rsidP="004D4F7E">
      <w:pPr>
        <w:pStyle w:val="1"/>
        <w:jc w:val="center"/>
        <w:rPr>
          <w:rFonts w:ascii="黑体" w:eastAsia="黑体" w:hAnsi="黑体"/>
          <w:sz w:val="32"/>
          <w:szCs w:val="32"/>
        </w:rPr>
      </w:pPr>
      <w:bookmarkStart w:id="0" w:name="_Toc112172039"/>
      <w:r>
        <w:rPr>
          <w:rFonts w:ascii="黑体" w:eastAsia="黑体" w:hAnsi="黑体" w:hint="eastAsia"/>
          <w:sz w:val="32"/>
          <w:szCs w:val="32"/>
        </w:rPr>
        <w:lastRenderedPageBreak/>
        <w:t>目录</w:t>
      </w:r>
      <w:bookmarkEnd w:id="0"/>
    </w:p>
    <w:sdt>
      <w:sdtPr>
        <w:rPr>
          <w:rFonts w:asciiTheme="minorHAnsi" w:eastAsiaTheme="minorEastAsia" w:hAnsiTheme="minorHAnsi" w:cstheme="minorBidi"/>
          <w:color w:val="auto"/>
          <w:kern w:val="2"/>
          <w:sz w:val="21"/>
          <w:szCs w:val="22"/>
          <w:lang w:val="zh-CN"/>
        </w:rPr>
        <w:id w:val="1200280835"/>
        <w:docPartObj>
          <w:docPartGallery w:val="Table of Contents"/>
          <w:docPartUnique/>
        </w:docPartObj>
      </w:sdtPr>
      <w:sdtEndPr>
        <w:rPr>
          <w:b/>
          <w:bCs/>
        </w:rPr>
      </w:sdtEndPr>
      <w:sdtContent>
        <w:p w14:paraId="42CF3FA1" w14:textId="49BD891B" w:rsidR="00F37237" w:rsidRDefault="00F37237">
          <w:pPr>
            <w:pStyle w:val="TOC"/>
          </w:pPr>
        </w:p>
        <w:p w14:paraId="765B5F4A" w14:textId="3E543D09" w:rsidR="00F37237" w:rsidRPr="00F37237" w:rsidRDefault="00F37237" w:rsidP="00F37237">
          <w:pPr>
            <w:pStyle w:val="TOC2"/>
            <w:tabs>
              <w:tab w:val="right" w:leader="dot" w:pos="8296"/>
            </w:tabs>
            <w:adjustRightInd w:val="0"/>
            <w:snapToGrid w:val="0"/>
            <w:spacing w:line="360" w:lineRule="auto"/>
            <w:ind w:firstLineChars="200" w:firstLine="420"/>
            <w:rPr>
              <w:rFonts w:ascii="宋体" w:eastAsia="宋体" w:hAnsi="宋体"/>
              <w:noProof/>
            </w:rPr>
          </w:pPr>
          <w:r>
            <w:fldChar w:fldCharType="begin"/>
          </w:r>
          <w:r>
            <w:instrText xml:space="preserve"> TOC \o "1-3" \h \z \u </w:instrText>
          </w:r>
          <w:r>
            <w:fldChar w:fldCharType="separate"/>
          </w:r>
          <w:hyperlink w:anchor="_Toc112172040" w:history="1">
            <w:r w:rsidRPr="00F37237">
              <w:rPr>
                <w:rStyle w:val="a9"/>
                <w:rFonts w:ascii="宋体" w:eastAsia="宋体" w:hAnsi="宋体"/>
                <w:noProof/>
              </w:rPr>
              <w:t>案例1：内部控制规范案</w:t>
            </w:r>
            <w:r w:rsidRPr="00F37237">
              <w:rPr>
                <w:rFonts w:ascii="宋体" w:eastAsia="宋体" w:hAnsi="宋体"/>
                <w:noProof/>
                <w:webHidden/>
              </w:rPr>
              <w:tab/>
            </w:r>
            <w:r w:rsidRPr="00F37237">
              <w:rPr>
                <w:rFonts w:ascii="宋体" w:eastAsia="宋体" w:hAnsi="宋体"/>
                <w:noProof/>
                <w:webHidden/>
              </w:rPr>
              <w:fldChar w:fldCharType="begin"/>
            </w:r>
            <w:r w:rsidRPr="00F37237">
              <w:rPr>
                <w:rFonts w:ascii="宋体" w:eastAsia="宋体" w:hAnsi="宋体"/>
                <w:noProof/>
                <w:webHidden/>
              </w:rPr>
              <w:instrText xml:space="preserve"> PAGEREF _Toc112172040 \h </w:instrText>
            </w:r>
            <w:r w:rsidRPr="00F37237">
              <w:rPr>
                <w:rFonts w:ascii="宋体" w:eastAsia="宋体" w:hAnsi="宋体"/>
                <w:noProof/>
                <w:webHidden/>
              </w:rPr>
            </w:r>
            <w:r w:rsidRPr="00F37237">
              <w:rPr>
                <w:rFonts w:ascii="宋体" w:eastAsia="宋体" w:hAnsi="宋体"/>
                <w:noProof/>
                <w:webHidden/>
              </w:rPr>
              <w:fldChar w:fldCharType="separate"/>
            </w:r>
            <w:r>
              <w:rPr>
                <w:rFonts w:ascii="宋体" w:eastAsia="宋体" w:hAnsi="宋体"/>
                <w:noProof/>
                <w:webHidden/>
              </w:rPr>
              <w:t>1</w:t>
            </w:r>
            <w:r w:rsidRPr="00F37237">
              <w:rPr>
                <w:rFonts w:ascii="宋体" w:eastAsia="宋体" w:hAnsi="宋体"/>
                <w:noProof/>
                <w:webHidden/>
              </w:rPr>
              <w:fldChar w:fldCharType="end"/>
            </w:r>
          </w:hyperlink>
        </w:p>
        <w:p w14:paraId="2A637F7D" w14:textId="2D29A4AB"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1" w:history="1">
            <w:r w:rsidR="00F37237" w:rsidRPr="00F37237">
              <w:rPr>
                <w:rStyle w:val="a9"/>
                <w:rFonts w:ascii="宋体" w:eastAsia="宋体" w:hAnsi="宋体"/>
                <w:noProof/>
              </w:rPr>
              <w:t>案例2：上海某研究所内部控制案</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_Toc112172041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3</w:t>
            </w:r>
            <w:r w:rsidR="00F37237" w:rsidRPr="00F37237">
              <w:rPr>
                <w:rFonts w:ascii="宋体" w:eastAsia="宋体" w:hAnsi="宋体"/>
                <w:noProof/>
                <w:webHidden/>
              </w:rPr>
              <w:fldChar w:fldCharType="end"/>
            </w:r>
          </w:hyperlink>
        </w:p>
        <w:p w14:paraId="461E9D93" w14:textId="39C87781"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2" w:history="1">
            <w:r w:rsidR="00F37237" w:rsidRPr="00F37237">
              <w:rPr>
                <w:rStyle w:val="a9"/>
                <w:rFonts w:ascii="宋体" w:eastAsia="宋体" w:hAnsi="宋体"/>
                <w:noProof/>
              </w:rPr>
              <w:t>案例3：中国银行案</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_Toc112172042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3</w:t>
            </w:r>
            <w:r w:rsidR="00F37237" w:rsidRPr="00F37237">
              <w:rPr>
                <w:rFonts w:ascii="宋体" w:eastAsia="宋体" w:hAnsi="宋体"/>
                <w:noProof/>
                <w:webHidden/>
              </w:rPr>
              <w:fldChar w:fldCharType="end"/>
            </w:r>
          </w:hyperlink>
        </w:p>
        <w:p w14:paraId="1F8FEEF7" w14:textId="608BB6FD"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3" w:history="1">
            <w:r w:rsidR="00F37237" w:rsidRPr="00F37237">
              <w:rPr>
                <w:rStyle w:val="a9"/>
                <w:rFonts w:ascii="宋体" w:eastAsia="宋体" w:hAnsi="宋体"/>
                <w:noProof/>
              </w:rPr>
              <w:t>案例4：伪造银行对账单，挪用两亿判死缓</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_Toc112172043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5</w:t>
            </w:r>
            <w:r w:rsidR="00F37237" w:rsidRPr="00F37237">
              <w:rPr>
                <w:rFonts w:ascii="宋体" w:eastAsia="宋体" w:hAnsi="宋体"/>
                <w:noProof/>
                <w:webHidden/>
              </w:rPr>
              <w:fldChar w:fldCharType="end"/>
            </w:r>
          </w:hyperlink>
        </w:p>
        <w:p w14:paraId="6FCF360C" w14:textId="44769F15"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4" w:history="1">
            <w:r w:rsidR="00F37237" w:rsidRPr="00F37237">
              <w:rPr>
                <w:rStyle w:val="a9"/>
                <w:rFonts w:ascii="宋体" w:eastAsia="宋体" w:hAnsi="宋体"/>
                <w:noProof/>
              </w:rPr>
              <w:t>案例5：上市公司出纳挪用公款炒股案</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_Toc112172044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6</w:t>
            </w:r>
            <w:r w:rsidR="00F37237" w:rsidRPr="00F37237">
              <w:rPr>
                <w:rFonts w:ascii="宋体" w:eastAsia="宋体" w:hAnsi="宋体"/>
                <w:noProof/>
                <w:webHidden/>
              </w:rPr>
              <w:fldChar w:fldCharType="end"/>
            </w:r>
          </w:hyperlink>
        </w:p>
        <w:p w14:paraId="7B594CA9" w14:textId="46D535AD"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5" w:history="1">
            <w:r w:rsidR="00F37237" w:rsidRPr="00F37237">
              <w:rPr>
                <w:rStyle w:val="a9"/>
                <w:rFonts w:ascii="宋体" w:eastAsia="宋体" w:hAnsi="宋体"/>
                <w:noProof/>
              </w:rPr>
              <w:t>案例6：三鹿集团案例—见ppt</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_Toc112172045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8</w:t>
            </w:r>
            <w:r w:rsidR="00F37237" w:rsidRPr="00F37237">
              <w:rPr>
                <w:rFonts w:ascii="宋体" w:eastAsia="宋体" w:hAnsi="宋体"/>
                <w:noProof/>
                <w:webHidden/>
              </w:rPr>
              <w:fldChar w:fldCharType="end"/>
            </w:r>
          </w:hyperlink>
        </w:p>
        <w:p w14:paraId="2BDEFB96" w14:textId="4C566385"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6" w:history="1">
            <w:r w:rsidR="00F37237" w:rsidRPr="00F37237">
              <w:rPr>
                <w:rStyle w:val="a9"/>
                <w:rFonts w:ascii="宋体" w:eastAsia="宋体" w:hAnsi="宋体"/>
                <w:noProof/>
              </w:rPr>
              <w:t>案例7：雷曼兄弟公司</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_Toc112172046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8</w:t>
            </w:r>
            <w:r w:rsidR="00F37237" w:rsidRPr="00F37237">
              <w:rPr>
                <w:rFonts w:ascii="宋体" w:eastAsia="宋体" w:hAnsi="宋体"/>
                <w:noProof/>
                <w:webHidden/>
              </w:rPr>
              <w:fldChar w:fldCharType="end"/>
            </w:r>
          </w:hyperlink>
        </w:p>
        <w:p w14:paraId="24667DA3" w14:textId="6870A95F"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7" w:history="1">
            <w:r w:rsidR="00F37237" w:rsidRPr="00F37237">
              <w:rPr>
                <w:rStyle w:val="a9"/>
                <w:rFonts w:ascii="宋体" w:eastAsia="宋体" w:hAnsi="宋体"/>
                <w:noProof/>
              </w:rPr>
              <w:t>案例8：浙江景兴纸业股份有限公司</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_Toc112172047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10</w:t>
            </w:r>
            <w:r w:rsidR="00F37237" w:rsidRPr="00F37237">
              <w:rPr>
                <w:rFonts w:ascii="宋体" w:eastAsia="宋体" w:hAnsi="宋体"/>
                <w:noProof/>
                <w:webHidden/>
              </w:rPr>
              <w:fldChar w:fldCharType="end"/>
            </w:r>
          </w:hyperlink>
        </w:p>
        <w:p w14:paraId="0AEEAF62" w14:textId="422C06CB"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8" w:history="1">
            <w:r w:rsidR="00F37237" w:rsidRPr="00F37237">
              <w:rPr>
                <w:rStyle w:val="a9"/>
                <w:rFonts w:ascii="宋体" w:eastAsia="宋体" w:hAnsi="宋体"/>
                <w:noProof/>
              </w:rPr>
              <w:t>案例9：浙江永联民爆器材有限公司永进分公司</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_Toc112172048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12</w:t>
            </w:r>
            <w:r w:rsidR="00F37237" w:rsidRPr="00F37237">
              <w:rPr>
                <w:rFonts w:ascii="宋体" w:eastAsia="宋体" w:hAnsi="宋体"/>
                <w:noProof/>
                <w:webHidden/>
              </w:rPr>
              <w:fldChar w:fldCharType="end"/>
            </w:r>
          </w:hyperlink>
        </w:p>
        <w:p w14:paraId="01CAFBED" w14:textId="531E29ED"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49" w:history="1">
            <w:r w:rsidR="00F37237" w:rsidRPr="00F37237">
              <w:rPr>
                <w:rStyle w:val="a9"/>
                <w:rFonts w:ascii="宋体" w:eastAsia="宋体" w:hAnsi="宋体"/>
                <w:noProof/>
              </w:rPr>
              <w:t>案例10：A公司投资案</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_Toc112172049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14</w:t>
            </w:r>
            <w:r w:rsidR="00F37237" w:rsidRPr="00F37237">
              <w:rPr>
                <w:rFonts w:ascii="宋体" w:eastAsia="宋体" w:hAnsi="宋体"/>
                <w:noProof/>
                <w:webHidden/>
              </w:rPr>
              <w:fldChar w:fldCharType="end"/>
            </w:r>
          </w:hyperlink>
        </w:p>
        <w:p w14:paraId="632F64D9" w14:textId="46E889D8"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0" w:history="1">
            <w:r w:rsidR="00F37237" w:rsidRPr="00F37237">
              <w:rPr>
                <w:rStyle w:val="a9"/>
                <w:rFonts w:ascii="宋体" w:eastAsia="宋体" w:hAnsi="宋体"/>
                <w:noProof/>
              </w:rPr>
              <w:t>案例11：SD再生资源有限公司</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_Toc112172050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15</w:t>
            </w:r>
            <w:r w:rsidR="00F37237" w:rsidRPr="00F37237">
              <w:rPr>
                <w:rFonts w:ascii="宋体" w:eastAsia="宋体" w:hAnsi="宋体"/>
                <w:noProof/>
                <w:webHidden/>
              </w:rPr>
              <w:fldChar w:fldCharType="end"/>
            </w:r>
          </w:hyperlink>
        </w:p>
        <w:p w14:paraId="2C3CCA0D" w14:textId="40581F57"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1" w:history="1">
            <w:r w:rsidR="00F37237" w:rsidRPr="00F37237">
              <w:rPr>
                <w:rStyle w:val="a9"/>
                <w:rFonts w:ascii="宋体" w:eastAsia="宋体" w:hAnsi="宋体"/>
                <w:noProof/>
              </w:rPr>
              <w:t>案例12：网页设计的外包项目</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_Toc112172051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17</w:t>
            </w:r>
            <w:r w:rsidR="00F37237" w:rsidRPr="00F37237">
              <w:rPr>
                <w:rFonts w:ascii="宋体" w:eastAsia="宋体" w:hAnsi="宋体"/>
                <w:noProof/>
                <w:webHidden/>
              </w:rPr>
              <w:fldChar w:fldCharType="end"/>
            </w:r>
          </w:hyperlink>
        </w:p>
        <w:p w14:paraId="332030D0" w14:textId="7DEF103E"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2" w:history="1">
            <w:r w:rsidR="00F37237" w:rsidRPr="00F37237">
              <w:rPr>
                <w:rStyle w:val="a9"/>
                <w:rFonts w:ascii="宋体" w:eastAsia="宋体" w:hAnsi="宋体"/>
                <w:noProof/>
              </w:rPr>
              <w:t>案例13：香港证监会起诉荣智健，为4 500位股民讨赔偿</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_Toc112172052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18</w:t>
            </w:r>
            <w:r w:rsidR="00F37237" w:rsidRPr="00F37237">
              <w:rPr>
                <w:rFonts w:ascii="宋体" w:eastAsia="宋体" w:hAnsi="宋体"/>
                <w:noProof/>
                <w:webHidden/>
              </w:rPr>
              <w:fldChar w:fldCharType="end"/>
            </w:r>
          </w:hyperlink>
        </w:p>
        <w:p w14:paraId="74FD581A" w14:textId="0E264153"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3" w:history="1">
            <w:r w:rsidR="00F37237" w:rsidRPr="00F37237">
              <w:rPr>
                <w:rStyle w:val="a9"/>
                <w:rFonts w:ascii="宋体" w:eastAsia="宋体" w:hAnsi="宋体"/>
                <w:noProof/>
              </w:rPr>
              <w:t>案例14：益强公司因深陷债务违约危机而破产重组</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_Toc112172053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20</w:t>
            </w:r>
            <w:r w:rsidR="00F37237" w:rsidRPr="00F37237">
              <w:rPr>
                <w:rFonts w:ascii="宋体" w:eastAsia="宋体" w:hAnsi="宋体"/>
                <w:noProof/>
                <w:webHidden/>
              </w:rPr>
              <w:fldChar w:fldCharType="end"/>
            </w:r>
          </w:hyperlink>
        </w:p>
        <w:p w14:paraId="3629D4A8" w14:textId="0805CC16"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4" w:history="1">
            <w:r w:rsidR="00F37237" w:rsidRPr="00F37237">
              <w:rPr>
                <w:rStyle w:val="a9"/>
                <w:rFonts w:ascii="宋体" w:eastAsia="宋体" w:hAnsi="宋体"/>
                <w:noProof/>
              </w:rPr>
              <w:t>案例15：奥林巴斯的内部控制</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_Toc112172054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21</w:t>
            </w:r>
            <w:r w:rsidR="00F37237" w:rsidRPr="00F37237">
              <w:rPr>
                <w:rFonts w:ascii="宋体" w:eastAsia="宋体" w:hAnsi="宋体"/>
                <w:noProof/>
                <w:webHidden/>
              </w:rPr>
              <w:fldChar w:fldCharType="end"/>
            </w:r>
          </w:hyperlink>
        </w:p>
        <w:p w14:paraId="7DD00A91" w14:textId="179B6026"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5" w:history="1">
            <w:r w:rsidR="00F37237" w:rsidRPr="00F37237">
              <w:rPr>
                <w:rStyle w:val="a9"/>
                <w:rFonts w:ascii="宋体" w:eastAsia="宋体" w:hAnsi="宋体"/>
                <w:noProof/>
              </w:rPr>
              <w:t>案例16：A公司的内部控制体系实施方案</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_Toc112172055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22</w:t>
            </w:r>
            <w:r w:rsidR="00F37237" w:rsidRPr="00F37237">
              <w:rPr>
                <w:rFonts w:ascii="宋体" w:eastAsia="宋体" w:hAnsi="宋体"/>
                <w:noProof/>
                <w:webHidden/>
              </w:rPr>
              <w:fldChar w:fldCharType="end"/>
            </w:r>
          </w:hyperlink>
        </w:p>
        <w:p w14:paraId="31325F34" w14:textId="0BD91EDD"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6" w:history="1">
            <w:r w:rsidR="00F37237" w:rsidRPr="00F37237">
              <w:rPr>
                <w:rStyle w:val="a9"/>
                <w:rFonts w:ascii="宋体" w:eastAsia="宋体" w:hAnsi="宋体"/>
                <w:noProof/>
              </w:rPr>
              <w:t>案例17：甲公司的内部控制体系实施方案</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_Toc112172056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24</w:t>
            </w:r>
            <w:r w:rsidR="00F37237" w:rsidRPr="00F37237">
              <w:rPr>
                <w:rFonts w:ascii="宋体" w:eastAsia="宋体" w:hAnsi="宋体"/>
                <w:noProof/>
                <w:webHidden/>
              </w:rPr>
              <w:fldChar w:fldCharType="end"/>
            </w:r>
          </w:hyperlink>
        </w:p>
        <w:p w14:paraId="747B118C" w14:textId="44ACABE8"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7" w:history="1">
            <w:r w:rsidR="00F37237" w:rsidRPr="00F37237">
              <w:rPr>
                <w:rStyle w:val="a9"/>
                <w:rFonts w:ascii="宋体" w:eastAsia="宋体" w:hAnsi="宋体"/>
                <w:noProof/>
              </w:rPr>
              <w:t>案例18：最大校企方正集团破产重组</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_Toc112172057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25</w:t>
            </w:r>
            <w:r w:rsidR="00F37237" w:rsidRPr="00F37237">
              <w:rPr>
                <w:rFonts w:ascii="宋体" w:eastAsia="宋体" w:hAnsi="宋体"/>
                <w:noProof/>
                <w:webHidden/>
              </w:rPr>
              <w:fldChar w:fldCharType="end"/>
            </w:r>
          </w:hyperlink>
        </w:p>
        <w:p w14:paraId="305D28E3" w14:textId="0605328F"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8" w:history="1">
            <w:r w:rsidR="00F37237" w:rsidRPr="00F37237">
              <w:rPr>
                <w:rStyle w:val="a9"/>
                <w:rFonts w:ascii="宋体" w:eastAsia="宋体" w:hAnsi="宋体"/>
                <w:noProof/>
              </w:rPr>
              <w:t>案例19：*ST众和退市</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_Toc112172058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26</w:t>
            </w:r>
            <w:r w:rsidR="00F37237" w:rsidRPr="00F37237">
              <w:rPr>
                <w:rFonts w:ascii="宋体" w:eastAsia="宋体" w:hAnsi="宋体"/>
                <w:noProof/>
                <w:webHidden/>
              </w:rPr>
              <w:fldChar w:fldCharType="end"/>
            </w:r>
          </w:hyperlink>
        </w:p>
        <w:p w14:paraId="00F65E37" w14:textId="68080801"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59" w:history="1">
            <w:r w:rsidR="00F37237" w:rsidRPr="00F37237">
              <w:rPr>
                <w:rStyle w:val="a9"/>
                <w:rFonts w:ascii="宋体" w:eastAsia="宋体" w:hAnsi="宋体"/>
                <w:noProof/>
              </w:rPr>
              <w:t>案例20：风险矩阵在A油库油品质量风险分析中的应用</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_Toc112172059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27</w:t>
            </w:r>
            <w:r w:rsidR="00F37237" w:rsidRPr="00F37237">
              <w:rPr>
                <w:rFonts w:ascii="宋体" w:eastAsia="宋体" w:hAnsi="宋体"/>
                <w:noProof/>
                <w:webHidden/>
              </w:rPr>
              <w:fldChar w:fldCharType="end"/>
            </w:r>
          </w:hyperlink>
        </w:p>
        <w:p w14:paraId="06891DFB" w14:textId="75E92C2C"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60" w:history="1">
            <w:r w:rsidR="00F37237" w:rsidRPr="00F37237">
              <w:rPr>
                <w:rStyle w:val="a9"/>
                <w:rFonts w:ascii="宋体" w:eastAsia="宋体" w:hAnsi="宋体"/>
                <w:noProof/>
              </w:rPr>
              <w:t>案例21：百年秋林黯然退场</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_Toc112172060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28</w:t>
            </w:r>
            <w:r w:rsidR="00F37237" w:rsidRPr="00F37237">
              <w:rPr>
                <w:rFonts w:ascii="宋体" w:eastAsia="宋体" w:hAnsi="宋体"/>
                <w:noProof/>
                <w:webHidden/>
              </w:rPr>
              <w:fldChar w:fldCharType="end"/>
            </w:r>
          </w:hyperlink>
        </w:p>
        <w:p w14:paraId="554FC9ED" w14:textId="6831FD18"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61" w:history="1">
            <w:r w:rsidR="00F37237" w:rsidRPr="00F37237">
              <w:rPr>
                <w:rStyle w:val="a9"/>
                <w:rFonts w:ascii="宋体" w:eastAsia="宋体" w:hAnsi="宋体"/>
                <w:noProof/>
              </w:rPr>
              <w:t>案例22：Y集团股份有限公司的内部控制出错</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_Toc112172061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30</w:t>
            </w:r>
            <w:r w:rsidR="00F37237" w:rsidRPr="00F37237">
              <w:rPr>
                <w:rFonts w:ascii="宋体" w:eastAsia="宋体" w:hAnsi="宋体"/>
                <w:noProof/>
                <w:webHidden/>
              </w:rPr>
              <w:fldChar w:fldCharType="end"/>
            </w:r>
          </w:hyperlink>
        </w:p>
        <w:p w14:paraId="710260B8" w14:textId="5F9C7A3E"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62" w:history="1">
            <w:r w:rsidR="00F37237" w:rsidRPr="00F37237">
              <w:rPr>
                <w:rStyle w:val="a9"/>
                <w:rFonts w:ascii="宋体" w:eastAsia="宋体" w:hAnsi="宋体"/>
                <w:noProof/>
              </w:rPr>
              <w:t>案例23：A公司的信息与沟通</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_Toc112172062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32</w:t>
            </w:r>
            <w:r w:rsidR="00F37237" w:rsidRPr="00F37237">
              <w:rPr>
                <w:rFonts w:ascii="宋体" w:eastAsia="宋体" w:hAnsi="宋体"/>
                <w:noProof/>
                <w:webHidden/>
              </w:rPr>
              <w:fldChar w:fldCharType="end"/>
            </w:r>
          </w:hyperlink>
        </w:p>
        <w:p w14:paraId="034568B6" w14:textId="5C319F83" w:rsidR="00F37237" w:rsidRPr="00F37237" w:rsidRDefault="00000000" w:rsidP="00F37237">
          <w:pPr>
            <w:pStyle w:val="TOC3"/>
            <w:tabs>
              <w:tab w:val="right" w:leader="dot" w:pos="8296"/>
            </w:tabs>
            <w:adjustRightInd w:val="0"/>
            <w:snapToGrid w:val="0"/>
            <w:spacing w:line="360" w:lineRule="auto"/>
            <w:rPr>
              <w:rFonts w:ascii="宋体" w:eastAsia="宋体" w:hAnsi="宋体"/>
              <w:noProof/>
            </w:rPr>
          </w:pPr>
          <w:hyperlink w:anchor="_Toc112172063" w:history="1">
            <w:r w:rsidR="00F37237" w:rsidRPr="00F37237">
              <w:rPr>
                <w:rStyle w:val="a9"/>
                <w:rFonts w:ascii="宋体" w:eastAsia="宋体" w:hAnsi="宋体"/>
                <w:noProof/>
              </w:rPr>
              <w:t>案例24：A公司的内部控制缺陷</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_Toc112172063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35</w:t>
            </w:r>
            <w:r w:rsidR="00F37237" w:rsidRPr="00F37237">
              <w:rPr>
                <w:rFonts w:ascii="宋体" w:eastAsia="宋体" w:hAnsi="宋体"/>
                <w:noProof/>
                <w:webHidden/>
              </w:rPr>
              <w:fldChar w:fldCharType="end"/>
            </w:r>
          </w:hyperlink>
        </w:p>
        <w:p w14:paraId="18CEB6F5" w14:textId="7122957F" w:rsidR="00F37237" w:rsidRDefault="00000000" w:rsidP="00F37237">
          <w:pPr>
            <w:pStyle w:val="TOC3"/>
            <w:tabs>
              <w:tab w:val="right" w:leader="dot" w:pos="8296"/>
            </w:tabs>
            <w:adjustRightInd w:val="0"/>
            <w:snapToGrid w:val="0"/>
            <w:spacing w:line="360" w:lineRule="auto"/>
            <w:rPr>
              <w:noProof/>
            </w:rPr>
          </w:pPr>
          <w:hyperlink w:anchor="_Toc112172064" w:history="1">
            <w:r w:rsidR="00F37237" w:rsidRPr="00F37237">
              <w:rPr>
                <w:rStyle w:val="a9"/>
                <w:rFonts w:ascii="宋体" w:eastAsia="宋体" w:hAnsi="宋体"/>
                <w:noProof/>
              </w:rPr>
              <w:t>案例25：安平公司的内部控制评价方案</w:t>
            </w:r>
            <w:r w:rsidR="00F37237" w:rsidRPr="00F37237">
              <w:rPr>
                <w:rFonts w:ascii="宋体" w:eastAsia="宋体" w:hAnsi="宋体"/>
                <w:noProof/>
                <w:webHidden/>
              </w:rPr>
              <w:tab/>
            </w:r>
            <w:r w:rsidR="00F37237" w:rsidRPr="00F37237">
              <w:rPr>
                <w:rFonts w:ascii="宋体" w:eastAsia="宋体" w:hAnsi="宋体"/>
                <w:noProof/>
                <w:webHidden/>
              </w:rPr>
              <w:fldChar w:fldCharType="begin"/>
            </w:r>
            <w:r w:rsidR="00F37237" w:rsidRPr="00F37237">
              <w:rPr>
                <w:rFonts w:ascii="宋体" w:eastAsia="宋体" w:hAnsi="宋体"/>
                <w:noProof/>
                <w:webHidden/>
              </w:rPr>
              <w:instrText xml:space="preserve"> PAGEREF _Toc112172064 \h </w:instrText>
            </w:r>
            <w:r w:rsidR="00F37237" w:rsidRPr="00F37237">
              <w:rPr>
                <w:rFonts w:ascii="宋体" w:eastAsia="宋体" w:hAnsi="宋体"/>
                <w:noProof/>
                <w:webHidden/>
              </w:rPr>
            </w:r>
            <w:r w:rsidR="00F37237" w:rsidRPr="00F37237">
              <w:rPr>
                <w:rFonts w:ascii="宋体" w:eastAsia="宋体" w:hAnsi="宋体"/>
                <w:noProof/>
                <w:webHidden/>
              </w:rPr>
              <w:fldChar w:fldCharType="separate"/>
            </w:r>
            <w:r w:rsidR="00F37237">
              <w:rPr>
                <w:rFonts w:ascii="宋体" w:eastAsia="宋体" w:hAnsi="宋体"/>
                <w:noProof/>
                <w:webHidden/>
              </w:rPr>
              <w:t>36</w:t>
            </w:r>
            <w:r w:rsidR="00F37237" w:rsidRPr="00F37237">
              <w:rPr>
                <w:rFonts w:ascii="宋体" w:eastAsia="宋体" w:hAnsi="宋体"/>
                <w:noProof/>
                <w:webHidden/>
              </w:rPr>
              <w:fldChar w:fldCharType="end"/>
            </w:r>
          </w:hyperlink>
        </w:p>
        <w:p w14:paraId="23C8D683" w14:textId="39529BE6" w:rsidR="00F37237" w:rsidRDefault="00F37237">
          <w:r>
            <w:rPr>
              <w:b/>
              <w:bCs/>
              <w:lang w:val="zh-CN"/>
            </w:rPr>
            <w:fldChar w:fldCharType="end"/>
          </w:r>
        </w:p>
      </w:sdtContent>
    </w:sdt>
    <w:p w14:paraId="3E9F80CD" w14:textId="77777777" w:rsidR="00F37237" w:rsidRPr="00F37237" w:rsidRDefault="00F37237" w:rsidP="00F37237"/>
    <w:p w14:paraId="1794143A" w14:textId="77777777" w:rsidR="004D4F7E" w:rsidRPr="004D4F7E" w:rsidRDefault="004D4F7E" w:rsidP="004D4F7E"/>
    <w:p w14:paraId="7FE95846" w14:textId="77777777" w:rsidR="004D4F7E" w:rsidRDefault="004D4F7E" w:rsidP="00882C67">
      <w:pPr>
        <w:pStyle w:val="a3"/>
        <w:widowControl w:val="0"/>
        <w:adjustRightInd w:val="0"/>
        <w:snapToGrid w:val="0"/>
        <w:spacing w:before="0" w:beforeAutospacing="0" w:after="0" w:afterAutospacing="0" w:line="360" w:lineRule="auto"/>
        <w:ind w:firstLineChars="200" w:firstLine="482"/>
        <w:jc w:val="both"/>
        <w:rPr>
          <w:b/>
          <w:bCs/>
        </w:rPr>
        <w:sectPr w:rsidR="004D4F7E">
          <w:pgSz w:w="11906" w:h="16838"/>
          <w:pgMar w:top="1440" w:right="1800" w:bottom="1440" w:left="1800" w:header="851" w:footer="992" w:gutter="0"/>
          <w:cols w:space="425"/>
          <w:docGrid w:type="lines" w:linePitch="312"/>
        </w:sectPr>
      </w:pPr>
    </w:p>
    <w:p w14:paraId="1A6D8B72" w14:textId="62D7FC49" w:rsidR="00B570D8" w:rsidRPr="004D4F7E" w:rsidRDefault="00B570D8" w:rsidP="004D4F7E">
      <w:pPr>
        <w:pStyle w:val="3"/>
        <w:rPr>
          <w:rFonts w:ascii="黑体" w:eastAsia="黑体" w:hAnsi="黑体"/>
          <w:b w:val="0"/>
          <w:bCs w:val="0"/>
          <w:sz w:val="24"/>
          <w:szCs w:val="24"/>
        </w:rPr>
      </w:pPr>
      <w:bookmarkStart w:id="1" w:name="_Toc112172040"/>
      <w:r w:rsidRPr="004D4F7E">
        <w:rPr>
          <w:rFonts w:ascii="黑体" w:eastAsia="黑体" w:hAnsi="黑体" w:hint="eastAsia"/>
          <w:b w:val="0"/>
          <w:bCs w:val="0"/>
          <w:sz w:val="24"/>
          <w:szCs w:val="24"/>
        </w:rPr>
        <w:lastRenderedPageBreak/>
        <w:t>案例</w:t>
      </w:r>
      <w:r w:rsidRPr="004D4F7E">
        <w:rPr>
          <w:rFonts w:ascii="黑体" w:eastAsia="黑体" w:hAnsi="黑体"/>
          <w:b w:val="0"/>
          <w:bCs w:val="0"/>
          <w:sz w:val="24"/>
          <w:szCs w:val="24"/>
        </w:rPr>
        <w:t>1</w:t>
      </w:r>
      <w:r w:rsidRPr="004D4F7E">
        <w:rPr>
          <w:rFonts w:ascii="黑体" w:eastAsia="黑体" w:hAnsi="黑体" w:hint="eastAsia"/>
          <w:b w:val="0"/>
          <w:bCs w:val="0"/>
          <w:sz w:val="24"/>
          <w:szCs w:val="24"/>
        </w:rPr>
        <w:t>：</w:t>
      </w:r>
      <w:r w:rsidR="00F01F10">
        <w:rPr>
          <w:rFonts w:ascii="黑体" w:eastAsia="黑体" w:hAnsi="黑体" w:hint="eastAsia"/>
          <w:b w:val="0"/>
          <w:bCs w:val="0"/>
          <w:sz w:val="24"/>
          <w:szCs w:val="24"/>
        </w:rPr>
        <w:t>内部控制规范案</w:t>
      </w:r>
      <w:bookmarkEnd w:id="1"/>
    </w:p>
    <w:p w14:paraId="7AA462F7" w14:textId="3DE5229C"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一、案例叙述</w:t>
      </w:r>
    </w:p>
    <w:p w14:paraId="0F7584AF"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企业内部会计控制制度的完善严密与否、执行情况的好坏，直接关系到企业的兴衰成败、生死存亡。一个企业如果有完善、严密的内部会计控制制度，并严格加以执行，必然会使企业内部组织设置合理、分工明确、职责清楚、奖惩分明、权限适度、紧密配合、管理科学、秩序井然、堵塞漏洞、减少损失、提高效益、促进发展。反之，一个企业如果没有良好的内部会计控制制度，或者内部会计控制制度仅仅是停留在纸面上、口头上，那么必然会造成组织混乱、职责不清、滥用职权、缺乏制衡、跑冒滴漏、损失严重、效益低下、丧失竞争力。</w:t>
      </w:r>
    </w:p>
    <w:p w14:paraId="2A6FF73B"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2001年某月的一天上午，原江苏省某厅财务处会计陆某突然在家割腕自杀，因后悔不想死，遂向警方投案自首。经警方调查，陆某在90后代初期因业务关系去了南方，在那里染上了赌瘾，他赌球、玩纸牌、打麻将，样样都来，</w:t>
      </w:r>
      <w:proofErr w:type="gramStart"/>
      <w:r w:rsidRPr="00882C67">
        <w:t>可他瘾大</w:t>
      </w:r>
      <w:proofErr w:type="gramEnd"/>
      <w:r w:rsidRPr="00882C67">
        <w:t>水平低，</w:t>
      </w:r>
      <w:proofErr w:type="gramStart"/>
      <w:r w:rsidRPr="00882C67">
        <w:t>输钱像</w:t>
      </w:r>
      <w:proofErr w:type="gramEnd"/>
      <w:r w:rsidRPr="00882C67">
        <w:t>流水，少则几千，多则上万。当陆某输钱后，就将罪恶之手伸向公款。1999年陆某从某厅会计处借调到某部驻南京特派员办事处办公室做会计。当时办公室有两人，一名主任，陆某负责现金出纳并兼做会计，财务印章在主任处保管，每次陆某去银行取钱前都必须到主任处盖章。这种制度刚开始尚能坚持，久而久之，</w:t>
      </w:r>
      <w:proofErr w:type="gramStart"/>
      <w:r w:rsidRPr="00882C67">
        <w:t>因主任</w:t>
      </w:r>
      <w:proofErr w:type="gramEnd"/>
      <w:r w:rsidRPr="00882C67">
        <w:t>感到麻烦，并出自对陆某的信任，陆某在主任的同意下，每次去银行取钱时，直接到柜中取印章来盖，以至于他</w:t>
      </w:r>
      <w:proofErr w:type="gramStart"/>
      <w:r w:rsidRPr="00882C67">
        <w:t>趁管理</w:t>
      </w:r>
      <w:proofErr w:type="gramEnd"/>
      <w:r w:rsidRPr="00882C67">
        <w:t>上的漏洞偷偷盖了许多现金支票，每当输了钱就用盖了章的现金支票去银行取钱继续赌。经检察机关查明，陆某自1999年以来借管理支票之便，私盖财务印章，从银行提取现金，挪用公款达百万元。陆某当时之所以自杀，是因为自杀当天是单位发工资日，而单位银行账上余款因陆某大量挪用公款赌博已不足以支付职工工资，</w:t>
      </w:r>
      <w:proofErr w:type="gramStart"/>
      <w:r w:rsidRPr="00882C67">
        <w:t>陆某因躲不</w:t>
      </w:r>
      <w:proofErr w:type="gramEnd"/>
      <w:r w:rsidRPr="00882C67">
        <w:t>过去而自杀。2001年初，陆某因挪用公款罪被判6年有期徒刑。</w:t>
      </w:r>
    </w:p>
    <w:p w14:paraId="246C5B1E"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二、案例分析</w:t>
      </w:r>
    </w:p>
    <w:p w14:paraId="6BF048B7"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本案是一起典型的内部会计控制度不健全而导致舞弊行为发生的案例。本案从内部会计控制的角度看存在以下几个方面的问题：</w:t>
      </w:r>
    </w:p>
    <w:p w14:paraId="7C2284DF"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首先是没有将不相容的岗位分离。根据《内部会计控制规范—货币资金》第六条规定，单位应当建立货币资金业务的岗位责任制，明确相关部门和岗位的职</w:t>
      </w:r>
      <w:r w:rsidRPr="00882C67">
        <w:lastRenderedPageBreak/>
        <w:t>责权限，确保办理货币资金业务的不相容岗位相互分离、制约和监督。出纳人员不得兼任稽核、会计档案保管和收入、支出、费用、债权债务账目的登记工作，单位不得由一人办理货币资金业务的全过程。在会计工作中的会计与出纳属不相容职务，如果会计与出纳由一人担任，就很容易发生挪用或贪污行为。陆某的案子中，由于他一人包办会计和出纳工作，没有形成会计与出纳的相互制衡所以导致了陆某长期挪用公款而未被发现。</w:t>
      </w:r>
    </w:p>
    <w:p w14:paraId="53504A88"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其次是会计人员缺乏良好的职业道德。根据《内部会计控制规范—货币资金》规定，办理货币资金业务的人员应当具备良好的职业道德、忠于职守、守法奉公、遵纪守法、客观公正，不断提高会计业务素质和职业素质以及职业道德水平。而在本案中，陆某赌球、玩纸牌、打麻将，赌性成瘾，缺乏会计人员应具备的素质和职业道德。以至为后来挪用公款留下隐患。</w:t>
      </w:r>
    </w:p>
    <w:p w14:paraId="4A48366C"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第三是印章的保管存在问题。按照《内部会计控制规范—货币资金》第二十二条的要求，单位应当加强银行预留印鉴的管理。财务专用章应由专人保管，个人名章必须由本人或其授权人员保管，严禁一人保管支付款项所需的全部印章。按规定需要有关负责人签字或盖章的经济业务，必须严格履行签字或盖章手续。在本案中，尽管财务印章由主任保管，但由于该主任未加以控制，而是任由陆某随意盖印，导致了现金管理失控。</w:t>
      </w:r>
    </w:p>
    <w:p w14:paraId="4F5CA01B"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第四是没有定期的监督检查。按照《内部会计控制规范—货币资金》第二十三条的要求，单位应当建立对货币资金业务的监督检查制度，定期和不定期地进行检查。在本案中，据陆某交待，自他接任会计以来，单位的领导从未有人看过他的账簿，询问过有关费用及现金的情况，更没有对陆某的会计工作定期的进行监督检查。</w:t>
      </w:r>
    </w:p>
    <w:p w14:paraId="2F77019A"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三、建议</w:t>
      </w:r>
    </w:p>
    <w:p w14:paraId="038549F7"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1、必须按照《内部会计控制规范—货币资金》第六条规定要求，不相容的会计岗位应当分离。出纳人员不得兼任稽核、会计档案保管和收入、支出费用、债权债务</w:t>
      </w:r>
      <w:proofErr w:type="gramStart"/>
      <w:r w:rsidRPr="00882C67">
        <w:t>帐目</w:t>
      </w:r>
      <w:proofErr w:type="gramEnd"/>
      <w:r w:rsidRPr="00882C67">
        <w:t>的登记工作，单位不得由一人办理货币资金业务的全过程。</w:t>
      </w:r>
    </w:p>
    <w:p w14:paraId="2B73341E"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2、加强对印章的保管。按照</w:t>
      </w:r>
      <w:proofErr w:type="gramStart"/>
      <w:r w:rsidRPr="00882C67">
        <w:t>《</w:t>
      </w:r>
      <w:proofErr w:type="gramEnd"/>
      <w:r w:rsidRPr="00882C67">
        <w:t>内部会计</w:t>
      </w:r>
      <w:proofErr w:type="gramStart"/>
      <w:r w:rsidRPr="00882C67">
        <w:t>务</w:t>
      </w:r>
      <w:proofErr w:type="gramEnd"/>
      <w:r w:rsidRPr="00882C67">
        <w:t>专用章应由专人保管，个人名章必须由本人或其授权人员保管，严禁一人保管支付款项所需的全部印章。按规定需要有关负责人签字或盖章的经济业务，必须履行签字或盖章手续。</w:t>
      </w:r>
    </w:p>
    <w:p w14:paraId="7DA31CE4"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3、实行定期监督检查。按照《内部会计控制规范—货币资金》第二十三条</w:t>
      </w:r>
      <w:r w:rsidRPr="00882C67">
        <w:lastRenderedPageBreak/>
        <w:t>的要求，单位应当建立对货币资金业务的监督检查制度，定期和不定期进行检查，有条件的还应实行定期轮岗制度。</w:t>
      </w:r>
    </w:p>
    <w:p w14:paraId="30A685A6" w14:textId="29C3D544" w:rsidR="00B570D8" w:rsidRPr="004D4F7E" w:rsidRDefault="00B570D8" w:rsidP="004D4F7E">
      <w:pPr>
        <w:pStyle w:val="3"/>
        <w:rPr>
          <w:rFonts w:ascii="黑体" w:eastAsia="黑体" w:hAnsi="黑体"/>
          <w:b w:val="0"/>
          <w:bCs w:val="0"/>
          <w:sz w:val="24"/>
          <w:szCs w:val="24"/>
        </w:rPr>
      </w:pPr>
      <w:bookmarkStart w:id="2" w:name="_Toc112172041"/>
      <w:r w:rsidRPr="004D4F7E">
        <w:rPr>
          <w:rFonts w:ascii="黑体" w:eastAsia="黑体" w:hAnsi="黑体" w:hint="eastAsia"/>
          <w:b w:val="0"/>
          <w:bCs w:val="0"/>
          <w:sz w:val="24"/>
          <w:szCs w:val="24"/>
        </w:rPr>
        <w:t>案例</w:t>
      </w:r>
      <w:r w:rsidRPr="004D4F7E">
        <w:rPr>
          <w:rFonts w:ascii="黑体" w:eastAsia="黑体" w:hAnsi="黑体"/>
          <w:b w:val="0"/>
          <w:bCs w:val="0"/>
          <w:sz w:val="24"/>
          <w:szCs w:val="24"/>
        </w:rPr>
        <w:t>2</w:t>
      </w:r>
      <w:r w:rsidRPr="004D4F7E">
        <w:rPr>
          <w:rFonts w:ascii="黑体" w:eastAsia="黑体" w:hAnsi="黑体" w:hint="eastAsia"/>
          <w:b w:val="0"/>
          <w:bCs w:val="0"/>
          <w:sz w:val="24"/>
          <w:szCs w:val="24"/>
        </w:rPr>
        <w:t>：</w:t>
      </w:r>
      <w:r w:rsidR="004D4F7E">
        <w:rPr>
          <w:rFonts w:ascii="黑体" w:eastAsia="黑体" w:hAnsi="黑体" w:hint="eastAsia"/>
          <w:b w:val="0"/>
          <w:bCs w:val="0"/>
          <w:sz w:val="24"/>
          <w:szCs w:val="24"/>
        </w:rPr>
        <w:t>上海某研究所内部控制案</w:t>
      </w:r>
      <w:bookmarkEnd w:id="2"/>
    </w:p>
    <w:p w14:paraId="7598474B" w14:textId="2094A435"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一、案例及分析</w:t>
      </w:r>
    </w:p>
    <w:p w14:paraId="6DF3FACF"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案例</w:t>
      </w:r>
      <w:proofErr w:type="gramStart"/>
      <w:r w:rsidRPr="00882C67">
        <w:t>一</w:t>
      </w:r>
      <w:proofErr w:type="gramEnd"/>
      <w:r w:rsidRPr="00882C67">
        <w:t>：上海某研究所近年来采用了银行提供的新型服务“代理转账”方式发放工资，由银行直接将工资款项划入职工的个人账户。其工资核算员黄某利用工资发放中款项支付无需收款人签字的漏洞，利用职务之便，篡改工资数据，采用虚设人员、多计工资的办法，将企业资产占为己有。在2002年后的2年时间里，黄某先后30余次利用该方法将225万余元的公款划入自己的腰包。</w:t>
      </w:r>
    </w:p>
    <w:p w14:paraId="43E9CD10" w14:textId="7ABC64B4"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案例二：1995年至2003年的8年期间，国家自然科学基金委会计卞中利用基金委掌管的科学研究专项奖金拨款权，采用谎称支票作废、偷盖印鉴、削减拨款金额、伪造银行进账单和退汇重拨、编造银行对账单等手段贪污、挪用公款人民币2亿余元，给国家造成了重大损失。</w:t>
      </w:r>
    </w:p>
    <w:p w14:paraId="11B7B426" w14:textId="13F943F2" w:rsidR="004D4F7E" w:rsidRPr="00F01F10" w:rsidRDefault="00B570D8" w:rsidP="004D4F7E">
      <w:pPr>
        <w:pStyle w:val="3"/>
        <w:rPr>
          <w:rFonts w:ascii="黑体" w:eastAsia="黑体" w:hAnsi="黑体"/>
          <w:b w:val="0"/>
          <w:bCs w:val="0"/>
          <w:sz w:val="24"/>
          <w:szCs w:val="24"/>
        </w:rPr>
      </w:pPr>
      <w:bookmarkStart w:id="3" w:name="_Toc112172042"/>
      <w:r w:rsidRPr="00F01F10">
        <w:rPr>
          <w:rFonts w:ascii="黑体" w:eastAsia="黑体" w:hAnsi="黑体"/>
          <w:b w:val="0"/>
          <w:bCs w:val="0"/>
          <w:sz w:val="24"/>
          <w:szCs w:val="24"/>
        </w:rPr>
        <w:t>案例</w:t>
      </w:r>
      <w:r w:rsidR="00F01F10" w:rsidRPr="00F01F10">
        <w:rPr>
          <w:rFonts w:ascii="黑体" w:eastAsia="黑体" w:hAnsi="黑体" w:hint="eastAsia"/>
          <w:b w:val="0"/>
          <w:bCs w:val="0"/>
          <w:sz w:val="24"/>
          <w:szCs w:val="24"/>
        </w:rPr>
        <w:t>3</w:t>
      </w:r>
      <w:r w:rsidRPr="00F01F10">
        <w:rPr>
          <w:rFonts w:ascii="黑体" w:eastAsia="黑体" w:hAnsi="黑体"/>
          <w:b w:val="0"/>
          <w:bCs w:val="0"/>
          <w:sz w:val="24"/>
          <w:szCs w:val="24"/>
        </w:rPr>
        <w:t>：</w:t>
      </w:r>
      <w:r w:rsidR="004D4F7E" w:rsidRPr="00F01F10">
        <w:rPr>
          <w:rFonts w:ascii="黑体" w:eastAsia="黑体" w:hAnsi="黑体" w:hint="eastAsia"/>
          <w:b w:val="0"/>
          <w:bCs w:val="0"/>
          <w:sz w:val="24"/>
          <w:szCs w:val="24"/>
        </w:rPr>
        <w:t>中国银行案</w:t>
      </w:r>
      <w:bookmarkEnd w:id="3"/>
    </w:p>
    <w:p w14:paraId="7B6CAE02" w14:textId="1AB0F51A"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2005年1月15日，某上市公司存在中国银行某分行2.9337亿元巨额存款失窃。调查人员在清查账户时发现，该分行行长高某从2000年初便开始利用公司多头开户对该企业存款动手脚，一方面当企业资金存入银行时，高某就利用职务之便，采用“背书转让”等形式将企业资金转移到其他账户上，另一方面高某通过给该公司开具假存单、假对账单等方式掩盖其犯罪事实。</w:t>
      </w:r>
    </w:p>
    <w:p w14:paraId="135C82B5"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上述几个案例至少应当引起我们对以下情况的思考。</w:t>
      </w:r>
    </w:p>
    <w:p w14:paraId="5F0F1685"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（一）新型的便利服务</w:t>
      </w:r>
    </w:p>
    <w:p w14:paraId="60DFD211"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随着市场竞争的日趋激烈，很多银行为了维持客户和拓展业务资源往往会向客户提供一些新型便利服务。“代理跑单”、“代理转账发放工资”就是其中比较典型的项目。“代理跑单”是指由银行派员协助单位办理日常</w:t>
      </w:r>
      <w:proofErr w:type="gramStart"/>
      <w:r w:rsidRPr="00882C67">
        <w:t>转账收</w:t>
      </w:r>
      <w:proofErr w:type="gramEnd"/>
      <w:r w:rsidRPr="00882C67">
        <w:t>付款业务，如提取和解</w:t>
      </w:r>
      <w:proofErr w:type="gramStart"/>
      <w:r w:rsidRPr="00882C67">
        <w:t>缴</w:t>
      </w:r>
      <w:proofErr w:type="gramEnd"/>
      <w:r w:rsidRPr="00882C67">
        <w:t>现金、传送银行结算凭证等。“代理转账发放工资”是指公司每月按特定格式将存有工资数据的电脑盘片及职工账号交给银行，由银行代为将工资款项从公司账户中转入职工个人账户的一种服务，该服务是目前较为常见的一种</w:t>
      </w:r>
      <w:r w:rsidRPr="00882C67">
        <w:lastRenderedPageBreak/>
        <w:t>工资发放方式。这些新型代理业务虽然方便了客户，提高了企业的工作效率，但却存在很多隐患。比如“代理转账发放工资”，由于是采用转账支付的方式，因此无需职工本人确认签字即可完成。这一环节的缺失给犯罪分子虚设人员提供了客观上的便利。</w:t>
      </w:r>
    </w:p>
    <w:p w14:paraId="058AC9A5"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（二）单据的流转程序</w:t>
      </w:r>
    </w:p>
    <w:p w14:paraId="38666EE5"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单据流转程序是指企业在经济活动过程中所取得银行结算凭证的过程，该过程通常会涉及到企业、银行、结算单位、跑</w:t>
      </w:r>
      <w:proofErr w:type="gramStart"/>
      <w:r w:rsidRPr="00882C67">
        <w:t>单人员</w:t>
      </w:r>
      <w:proofErr w:type="gramEnd"/>
      <w:r w:rsidRPr="00882C67">
        <w:t>等诸多相关主体。一般企业会安排专门的出纳人员，负责在单位和银行间传递凭证。但单据在从企业内部到外部的转移过程中涉及的环节和牵扯的人员都比较多，难以对其流转过程形成有效的控制，容易存在操作上的漏洞，因此，往往会被犯罪分子所利用。例如，一种在企业中很普遍的情况是，许多单位出于方便考虑，安排出纳人员去银行时兼取银行对账单等单证。实际上，如此安排违反了不相容职责分离的基本控制原则。又如在上述案例二中，如果出纳人员在收到退汇款项时</w:t>
      </w:r>
      <w:proofErr w:type="gramStart"/>
      <w:r w:rsidRPr="00882C67">
        <w:t>不</w:t>
      </w:r>
      <w:proofErr w:type="gramEnd"/>
      <w:r w:rsidRPr="00882C67">
        <w:t>据实交回单位，并且如果该单位的印鉴保管不严，这时极易出现由出纳通过伪造银行对账单而进行资金舞弊的情况。另外，银行代理业务出现以后，传递工作很多时候已经由单位出纳人员转为银行业务人员操作，客观上造成凭证的传递周期变长，为伪造凭证等作弊行为提供了一定的条件。</w:t>
      </w:r>
    </w:p>
    <w:p w14:paraId="4CB92A9F"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（三）资金及印鉴的接触</w:t>
      </w:r>
    </w:p>
    <w:p w14:paraId="76A4F105"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货币资金接触的限制范围包括现金、印鉴、结算凭证、发票或收据等。资金和印鉴的接触通常发生在企业进行内、外部结算时。在印鉴和结算单据的使用中，企业应当安排专人负责，在经过适当程序和恰当授权后，相关人员才能使用印鉴和结算单据。很多单位出于方便工作考虑，将结算凭证和相关印鉴同时置于工作人员触手可及之处。这样的管理方式固然提高了工作效率，但却给舞弊行为的发生留下了极大的隐患。在印鉴的管理上，忽视防范和控制的情况同样非常严重。通常，企业在签发银行结算凭证时需要加盖两枚或两枚以上预留银行印鉴，以达到相互牵制目的。但有些单位为图便利，片面追求效率，往往把不同印鉴置交给同一个工作人员保管，甚至仅置于财务部办公桌上，方便大家取用。这种管理印鉴的方法，同样使得企业的内部控制被削弱或是消减，为舞弊行为大开方便之门。</w:t>
      </w:r>
    </w:p>
    <w:p w14:paraId="30BF5629"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（四）不规范的外部环境</w:t>
      </w:r>
    </w:p>
    <w:p w14:paraId="37593AC9"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在我国，银行体系除了承担有资金结算功能以外，还负有重要的资金监管职</w:t>
      </w:r>
      <w:r w:rsidRPr="00882C67">
        <w:lastRenderedPageBreak/>
        <w:t>能。然而，现实情况是，目前有些银行本身就存在很多不规范的市场操作行为。为了争资金、拉客户，有的银行默许甚至纵容企业进行一些违规操作，如开立不符合银行账户管理规定的账户。这种现象的存在给企业或个人利用多头开户截流公款创造了条件。例如，会计人员可以以本单位更换户头或开户行为由，要求付款单位将欠款或销货收入汇入其私设的账户中。</w:t>
      </w:r>
    </w:p>
    <w:p w14:paraId="2B922614" w14:textId="17B792F1" w:rsidR="00B570D8" w:rsidRPr="00F01F10" w:rsidRDefault="00B570D8" w:rsidP="00F01F10">
      <w:pPr>
        <w:pStyle w:val="3"/>
        <w:rPr>
          <w:rFonts w:ascii="黑体" w:eastAsia="黑体" w:hAnsi="黑体"/>
          <w:b w:val="0"/>
          <w:bCs w:val="0"/>
          <w:sz w:val="24"/>
          <w:szCs w:val="24"/>
        </w:rPr>
      </w:pPr>
      <w:bookmarkStart w:id="4" w:name="_Toc112172043"/>
      <w:r w:rsidRPr="00F01F10">
        <w:rPr>
          <w:rFonts w:ascii="黑体" w:eastAsia="黑体" w:hAnsi="黑体" w:hint="eastAsia"/>
          <w:b w:val="0"/>
          <w:bCs w:val="0"/>
          <w:sz w:val="24"/>
          <w:szCs w:val="24"/>
        </w:rPr>
        <w:t>案例</w:t>
      </w:r>
      <w:r w:rsidR="00F37237">
        <w:rPr>
          <w:rFonts w:ascii="黑体" w:eastAsia="黑体" w:hAnsi="黑体"/>
          <w:b w:val="0"/>
          <w:bCs w:val="0"/>
          <w:sz w:val="24"/>
          <w:szCs w:val="24"/>
        </w:rPr>
        <w:t>4</w:t>
      </w:r>
      <w:r w:rsidRPr="00F01F10">
        <w:rPr>
          <w:rFonts w:ascii="黑体" w:eastAsia="黑体" w:hAnsi="黑体" w:hint="eastAsia"/>
          <w:b w:val="0"/>
          <w:bCs w:val="0"/>
          <w:sz w:val="24"/>
          <w:szCs w:val="24"/>
        </w:rPr>
        <w:t>：</w:t>
      </w:r>
      <w:r w:rsidRPr="00F01F10">
        <w:rPr>
          <w:rFonts w:ascii="黑体" w:eastAsia="黑体" w:hAnsi="黑体"/>
          <w:b w:val="0"/>
          <w:bCs w:val="0"/>
          <w:sz w:val="24"/>
          <w:szCs w:val="24"/>
        </w:rPr>
        <w:t>伪造银行对账单，挪用两亿判死缓</w:t>
      </w:r>
      <w:bookmarkEnd w:id="4"/>
    </w:p>
    <w:p w14:paraId="20CB8889"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曾在国家某科研基金管理机构会计卞某涉嫌贪污挪用公款2亿元一案，是北京市建国以来涉案金额最高的一起职务侵占案件，最终卞某被法院判为死缓。</w:t>
      </w:r>
    </w:p>
    <w:p w14:paraId="3B41BD3F"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从媒体报道来看，卞某在案发前的八年期间里，利用掌管该科研基金的专项资金下拨权，采用谎称支票作废、偷盖印鉴、削减拨款金额、伪造银行进账单和信汇凭证、伪造银行对账单等手段贪污、挪用公款人民币两亿余元。卞某担负着资金收付的出纳职能，同时所有的银行单据和银行对账单也都由他一手经办，使得他得以作案长达八年，却一直没有被察觉。审计部门曾经对该基金委的财务状况多次审计，但一直没有发现卞中挪用资金的问题。</w:t>
      </w:r>
    </w:p>
    <w:p w14:paraId="6405ECAE"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案发当年的春节刚过，基金委财务局经费管理处刚来的一名大学生提前休假回来，去银行办事时顺手将此前都是由卞某经手的银行对账单取回，而此时卞某还没有对这次的对账单作假，上班伊始便到定点银行拿对账单，以往这一工作由会计卞中负责。取回对账单后，这名大学生开始将对账单和内部账目进行核对，一笔金额为2090万元的支出引起了这名大学生注意，在其印象里他没有听说此项开支。这个初入社会的大学生找到卞中刨根问底，慌乱之下卞中道出实情，这桩涉案金额超过2亿元的大案也因此浮出水面。</w:t>
      </w:r>
    </w:p>
    <w:p w14:paraId="5255C466"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据办案人员介绍：“作为入账凭证，每一笔资金的流向都体现在银行的对账单上，而在基金委，卞某既管记账又管拨款，身份是会计却又掌握出纳的职能，这样就给他实施贪污挪用提供了职务上的便利。比如说他挪出去3000万或者1980万，他把真对账单拿下来自己留下以后，在假对账单里，这笔钱他自己做得根本不体现出来。” “咱们银行对账单，都是从电脑打出来的，既然是电脑做的，卞某也有电脑，他也可以按照那种纸张和程序往下打。”打印出对账单后还必须要加盖银行印章，卞某长期和银行打交道，与银行工作人员之间非常熟悉，</w:t>
      </w:r>
      <w:r w:rsidRPr="00882C67">
        <w:lastRenderedPageBreak/>
        <w:t>有时候银行直接就把印章给他，让他自己盖，这时候卞某就可以一次盖很多。</w:t>
      </w:r>
    </w:p>
    <w:p w14:paraId="3F5C5A31"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卞某贪污、挪用巨额公款长达八年才案发，从一定意义上讲，暴露出了科研基金管理机构在基金管理方面的漏洞。卞某案发前，该基金管理机构有400万元科研基金因管理不善而流失，有关责任人被判刑6个月。参与该案办理的一名检察官认为，该基金委员会财务制度管理不规范和基金审批与监管环节中的漏洞给了卞某以可乘之机。办案组在侦查中发现，该基金委员会会计部门账务极其混乱，卞某担任会计期间，主管部门没有很好地查过财务账，而且主管部门的财务做账也不严格，让卞某钻了空子。</w:t>
      </w:r>
    </w:p>
    <w:p w14:paraId="54FCDB2C" w14:textId="506A99D1" w:rsidR="00B570D8" w:rsidRPr="00F01F10" w:rsidRDefault="00B570D8" w:rsidP="00F01F10">
      <w:pPr>
        <w:pStyle w:val="3"/>
        <w:rPr>
          <w:rFonts w:ascii="黑体" w:eastAsia="黑体" w:hAnsi="黑体"/>
          <w:b w:val="0"/>
          <w:bCs w:val="0"/>
          <w:sz w:val="24"/>
          <w:szCs w:val="24"/>
        </w:rPr>
      </w:pPr>
      <w:bookmarkStart w:id="5" w:name="_Toc112172044"/>
      <w:r w:rsidRPr="00F01F10">
        <w:rPr>
          <w:rFonts w:ascii="黑体" w:eastAsia="黑体" w:hAnsi="黑体" w:hint="eastAsia"/>
          <w:b w:val="0"/>
          <w:bCs w:val="0"/>
          <w:sz w:val="24"/>
          <w:szCs w:val="24"/>
        </w:rPr>
        <w:t>案例</w:t>
      </w:r>
      <w:r w:rsidR="00F37237">
        <w:rPr>
          <w:rFonts w:ascii="黑体" w:eastAsia="黑体" w:hAnsi="黑体"/>
          <w:b w:val="0"/>
          <w:bCs w:val="0"/>
          <w:sz w:val="24"/>
          <w:szCs w:val="24"/>
        </w:rPr>
        <w:t>5</w:t>
      </w:r>
      <w:r w:rsidRPr="00F01F10">
        <w:rPr>
          <w:rFonts w:ascii="黑体" w:eastAsia="黑体" w:hAnsi="黑体" w:hint="eastAsia"/>
          <w:b w:val="0"/>
          <w:bCs w:val="0"/>
          <w:sz w:val="24"/>
          <w:szCs w:val="24"/>
        </w:rPr>
        <w:t>：</w:t>
      </w:r>
      <w:r w:rsidRPr="00F01F10">
        <w:rPr>
          <w:rFonts w:ascii="黑体" w:eastAsia="黑体" w:hAnsi="黑体"/>
          <w:b w:val="0"/>
          <w:bCs w:val="0"/>
          <w:sz w:val="24"/>
          <w:szCs w:val="24"/>
        </w:rPr>
        <w:t>上市公司出纳挪用公款炒股案</w:t>
      </w:r>
      <w:bookmarkEnd w:id="5"/>
    </w:p>
    <w:p w14:paraId="2763A036" w14:textId="77777777" w:rsidR="008D6E59" w:rsidRPr="00882C67" w:rsidRDefault="008D6E59" w:rsidP="00882C67">
      <w:pPr>
        <w:pStyle w:val="a3"/>
        <w:widowControl w:val="0"/>
        <w:adjustRightInd w:val="0"/>
        <w:snapToGrid w:val="0"/>
        <w:spacing w:before="0" w:beforeAutospacing="0" w:after="0" w:afterAutospacing="0" w:line="360" w:lineRule="auto"/>
        <w:ind w:firstLineChars="200" w:firstLine="480"/>
        <w:jc w:val="both"/>
      </w:pPr>
      <w:r w:rsidRPr="00882C67">
        <w:rPr>
          <w:rFonts w:hint="eastAsia"/>
        </w:rPr>
        <w:t>一、案例介绍</w:t>
      </w:r>
    </w:p>
    <w:p w14:paraId="03710ADE" w14:textId="020C27E8"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湖南某上市公司出纳梁某，采取偷盖公司银行印鉴和法人章，使用作废的、没有登记的现金支票等方法，在近五年期间先后挪用3000多万元用于炒股。给单位造成损失1137.8万余元。长沙市中级法院以挪用公款罪和挪用资金罪，判处梁某17年徒刑。</w:t>
      </w:r>
    </w:p>
    <w:p w14:paraId="22BA9EFF"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二、案例评析和借鉴</w:t>
      </w:r>
    </w:p>
    <w:p w14:paraId="6C7266E3" w14:textId="45B3B8D3"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货币资金是流动性最强、控制风险最高的资产，企事业单位的货币资金遭挪用、贪污和诈骗等案例可以说屡见报端，而这些案例的发生与单位的货币资金内部控制不健全或未能有效执行有密切关系。前述两个案例可以说非常典型，其作案手段并不复杂，就是利用单位内控漏洞，挪用资金，并通过伪造相关凭证、账单、印鉴或偷盖印鉴等手法掩盖舞弊行为，而单位监督、检查机制的不健全，使得舞弊行为长期未能被发现。</w:t>
      </w:r>
    </w:p>
    <w:p w14:paraId="7BE212E3"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货币资金内部控制的风险主要有：截留、挪用或贪污企业的资金；私设“小金库”保留账外公款；不合</w:t>
      </w:r>
      <w:proofErr w:type="gramStart"/>
      <w:r w:rsidRPr="00882C67">
        <w:t>规</w:t>
      </w:r>
      <w:proofErr w:type="gramEnd"/>
      <w:r w:rsidRPr="00882C67">
        <w:t>的对外支付。从我国企业现状看，笔者认为货币资金内部控制主要存在以下几个方面问题，建议予以完善。</w:t>
      </w:r>
    </w:p>
    <w:p w14:paraId="2AFB9B8E"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1．不相容职务未能有效分离。虽然很多会计人员都知道内控规范有不相容职务分离的要求，知道“管钱</w:t>
      </w:r>
      <w:proofErr w:type="gramStart"/>
      <w:r w:rsidRPr="00882C67">
        <w:t>不</w:t>
      </w:r>
      <w:proofErr w:type="gramEnd"/>
      <w:r w:rsidRPr="00882C67">
        <w:t>管账，管账不管钱，但在具体的内控设计和执行时，却往往会忽视这一点或不清楚如何有效分离不相容职务，一个典型且常见问题就是出纳领取对账单，这在前面的两个案例都有这个现象，并且这个现象在很</w:t>
      </w:r>
      <w:r w:rsidRPr="00882C67">
        <w:lastRenderedPageBreak/>
        <w:t>多单位存在，从不相容职务分离来说，由出纳来领取银行对账单是项大忌，因为出纳本身负责货币资金保管和收支，如果再由出纳来负责领取银行对账单、编制银行存款余额调节表，出纳就有可能挪用或侵占企业货币资金，并通过伪造对账单或在余额调节表上做手脚来掩盖自己的舞弊行为。一些单位在进行职责分工时，往往是从工作方便或效率角度考虑，便安排经常跑银行的出纳来领取银行对账单，殊不知，这种做法会埋下巨大隐患。再比如，一些企业由销售人员负责客户收款、核对的全过程，发生挪用货款事项也就不奇怪了。因此，企业应全面系统地分析、梳理业务流程中所涉及的不相容职务，实施相应的分离措施，形成各司其职、各负其责、相互制约的工作机制。各单位通常应分离的不相容职务包括授权和执行、执行和审核、执行和记录、保管和记录等。</w:t>
      </w:r>
    </w:p>
    <w:p w14:paraId="118B71A1"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2．银行账户管理失控。这方面的问题主要有：银行开户数量过多，各账户情况无统一记录；银行账户的开立、核销随意，缺乏必要的授权批准程序；对各账户余额无统一的定期检查及核对制度；银行印鉴未能妥善保管。例如，这两个案例中采取的偷盖印鉴，就暴露了印鉴管理的漏洞。从</w:t>
      </w:r>
      <w:proofErr w:type="gramStart"/>
      <w:r w:rsidRPr="00882C67">
        <w:t>完善控制</w:t>
      </w:r>
      <w:proofErr w:type="gramEnd"/>
      <w:r w:rsidRPr="00882C67">
        <w:t>角度来讲，企业对银行账户开户、变更及撤销应建立明确的申请批准程序，并予以书面记录，对长期不使用的账户应予以核销，银行印鉴应分开保管。</w:t>
      </w:r>
    </w:p>
    <w:p w14:paraId="2D92D534"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3．票据单证保管不善，使用情况缺乏必要记录和检查。企业对于有价票据及空白单证如果疏于管理，就会被“有心之人”加以利用，例如，案例中梁某就是利用作废、未登记的支票进行作案。因此，应严格票据的日常保管，票据的使用和流转应书面记录，对作废票据应予以妥善处置。</w:t>
      </w:r>
    </w:p>
    <w:p w14:paraId="7509E9B4"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4．授权审批程序不够合理。企业货币资金支付的授权审批权限不合理或程序不清，也是很多企业常犯的毛病。企业应明确审批人对货币资金业务的授权批准方式、权限、程序、责任和相关控制措施，规定经办人办理货币资金业务的职责范围和工作要求；审批人应当根据货币资金授权批准制度的规定，在授权范围内进行审批，不得超越审批权限；经办人应当在职责范围内，按照审批人的批准意见办理货币资金业务；对于审批人超越授权范围审批的货币资金业务，经办人员有权拒绝办理，并及时向审批人的上级授权部门报告。</w:t>
      </w:r>
    </w:p>
    <w:p w14:paraId="185798FA" w14:textId="77777777"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5．检查、核对机制缺失。账</w:t>
      </w:r>
      <w:proofErr w:type="gramStart"/>
      <w:r w:rsidRPr="00882C67">
        <w:t>账</w:t>
      </w:r>
      <w:proofErr w:type="gramEnd"/>
      <w:r w:rsidRPr="00882C67">
        <w:t>核对、账实核对是防范及发现货币资金舞弊的重要控制手段，企业应由负责账物保管和记录以外的人员进行定期和不定期的检查、核对。对有形的实物资产（例如现金、有价证券和存货等）要定期和不定</w:t>
      </w:r>
      <w:r w:rsidRPr="00882C67">
        <w:lastRenderedPageBreak/>
        <w:t>期盘点程序来核实资产的存在性和完整性；对不具实物形态的资产（如银行存款、应收账款等）和负债则定期通过询问、</w:t>
      </w:r>
      <w:proofErr w:type="gramStart"/>
      <w:r w:rsidRPr="00882C67">
        <w:t>函证和</w:t>
      </w:r>
      <w:proofErr w:type="gramEnd"/>
      <w:r w:rsidRPr="00882C67">
        <w:t>对账等方式验证查实。以</w:t>
      </w:r>
      <w:proofErr w:type="gramStart"/>
      <w:r w:rsidRPr="00882C67">
        <w:t>银行函证为例</w:t>
      </w:r>
      <w:proofErr w:type="gramEnd"/>
      <w:r w:rsidRPr="00882C67">
        <w:t>，只要发生过业务的银行，都应进行函证，即使账面存款余额已为零，</w:t>
      </w:r>
      <w:proofErr w:type="gramStart"/>
      <w:r w:rsidRPr="00882C67">
        <w:t>函证时</w:t>
      </w:r>
      <w:proofErr w:type="gramEnd"/>
      <w:r w:rsidRPr="00882C67">
        <w:t>不仅要询问存款余额，还要核实有无未入账贷款、有无为他人提供担保等现象。如上述企业财务或审计人员做到这一点，即便伪造银行对账单，审计人员也能</w:t>
      </w:r>
      <w:proofErr w:type="gramStart"/>
      <w:r w:rsidRPr="00882C67">
        <w:t>通过函证及早</w:t>
      </w:r>
      <w:proofErr w:type="gramEnd"/>
      <w:r w:rsidRPr="00882C67">
        <w:t>发现存在问题。</w:t>
      </w:r>
    </w:p>
    <w:p w14:paraId="73946896" w14:textId="4CF53ED6" w:rsidR="00B570D8" w:rsidRPr="00882C67" w:rsidRDefault="00B570D8" w:rsidP="00882C67">
      <w:pPr>
        <w:pStyle w:val="a3"/>
        <w:widowControl w:val="0"/>
        <w:adjustRightInd w:val="0"/>
        <w:snapToGrid w:val="0"/>
        <w:spacing w:before="0" w:beforeAutospacing="0" w:after="0" w:afterAutospacing="0" w:line="360" w:lineRule="auto"/>
        <w:ind w:firstLineChars="200" w:firstLine="480"/>
        <w:jc w:val="both"/>
      </w:pPr>
      <w:r w:rsidRPr="00882C67">
        <w:t>我们的看法总的来说，对企业货币资金的控制，应通过完善制度和流程，并树立正确内部控制理念，做好风险评估，注重关键控制点的控制。很多单位的内部控制制度都是根据经验或企业发生过的案例来制定的，而忽视了企业的全面风险评估，内部控制不能有效防止重大风险。很多爆出“大案”的问题企业并非没有内部管理制度，有些不但有很多管理制度，甚至非常严格，一些小额费用都要层层审核、签字，并由专业审计人员定期审计，但却发生了重大的资金舞弊而长期没有发现。可见，强化对企业日常开支的监管固然重要，但企业决策者的目光不应对一些无关大局的事情左右盼顾，企业的内控制度应当紧紧盯住关键控制点。内部控制本身需要成本，而且它也不是万能的，不能期望它能消灭所有舞弊风险，但有效的内部控制应当将风险降低到合理水平。企业的控制要抓住关键控制点，这就需要企业对风险进行有效而全面的评估，在此基础上制定相应控制措施，防止重大甚至灾难性风险的发生，避免丢了西瓜抓芝麻。</w:t>
      </w:r>
    </w:p>
    <w:p w14:paraId="537CAD71" w14:textId="7A491273" w:rsidR="00E34431" w:rsidRPr="00F01F10" w:rsidRDefault="00E34431" w:rsidP="00F01F10">
      <w:pPr>
        <w:pStyle w:val="3"/>
        <w:rPr>
          <w:rFonts w:ascii="黑体" w:eastAsia="黑体" w:hAnsi="黑体"/>
          <w:b w:val="0"/>
          <w:bCs w:val="0"/>
          <w:sz w:val="24"/>
          <w:szCs w:val="24"/>
        </w:rPr>
      </w:pPr>
      <w:bookmarkStart w:id="6" w:name="_Toc112172045"/>
      <w:r w:rsidRPr="00F01F10">
        <w:rPr>
          <w:rFonts w:ascii="黑体" w:eastAsia="黑体" w:hAnsi="黑体" w:hint="eastAsia"/>
          <w:b w:val="0"/>
          <w:bCs w:val="0"/>
          <w:sz w:val="24"/>
          <w:szCs w:val="24"/>
        </w:rPr>
        <w:t>案例</w:t>
      </w:r>
      <w:r w:rsidR="00F37237">
        <w:rPr>
          <w:rFonts w:ascii="黑体" w:eastAsia="黑体" w:hAnsi="黑体"/>
          <w:b w:val="0"/>
          <w:bCs w:val="0"/>
          <w:sz w:val="24"/>
          <w:szCs w:val="24"/>
        </w:rPr>
        <w:t>6</w:t>
      </w:r>
      <w:r w:rsidRPr="00F01F10">
        <w:rPr>
          <w:rFonts w:ascii="黑体" w:eastAsia="黑体" w:hAnsi="黑体" w:hint="eastAsia"/>
          <w:b w:val="0"/>
          <w:bCs w:val="0"/>
          <w:sz w:val="24"/>
          <w:szCs w:val="24"/>
        </w:rPr>
        <w:t>：三鹿集团案例</w:t>
      </w:r>
      <w:r w:rsidRPr="00F01F10">
        <w:rPr>
          <w:rFonts w:ascii="黑体" w:eastAsia="黑体" w:hAnsi="黑体"/>
          <w:b w:val="0"/>
          <w:bCs w:val="0"/>
          <w:sz w:val="24"/>
          <w:szCs w:val="24"/>
        </w:rPr>
        <w:t>—</w:t>
      </w:r>
      <w:r w:rsidRPr="00F01F10">
        <w:rPr>
          <w:rFonts w:ascii="黑体" w:eastAsia="黑体" w:hAnsi="黑体" w:hint="eastAsia"/>
          <w:b w:val="0"/>
          <w:bCs w:val="0"/>
          <w:sz w:val="24"/>
          <w:szCs w:val="24"/>
        </w:rPr>
        <w:t>见ppt</w:t>
      </w:r>
      <w:bookmarkEnd w:id="6"/>
      <w:r w:rsidR="00F37237" w:rsidRPr="00F01F10">
        <w:rPr>
          <w:rFonts w:ascii="黑体" w:eastAsia="黑体" w:hAnsi="黑体"/>
          <w:b w:val="0"/>
          <w:bCs w:val="0"/>
          <w:sz w:val="24"/>
          <w:szCs w:val="24"/>
        </w:rPr>
        <w:t xml:space="preserve"> </w:t>
      </w:r>
    </w:p>
    <w:p w14:paraId="4D869200" w14:textId="52C4A085" w:rsidR="00F01F10" w:rsidRPr="00F01F10" w:rsidRDefault="00E34431" w:rsidP="00F01F10">
      <w:pPr>
        <w:pStyle w:val="3"/>
        <w:rPr>
          <w:rFonts w:ascii="黑体" w:eastAsia="黑体" w:hAnsi="黑体"/>
          <w:b w:val="0"/>
          <w:bCs w:val="0"/>
          <w:sz w:val="24"/>
          <w:szCs w:val="24"/>
        </w:rPr>
      </w:pPr>
      <w:bookmarkStart w:id="7" w:name="_Toc112172046"/>
      <w:r w:rsidRPr="00F01F10">
        <w:rPr>
          <w:rFonts w:ascii="黑体" w:eastAsia="黑体" w:hAnsi="黑体" w:hint="eastAsia"/>
          <w:b w:val="0"/>
          <w:bCs w:val="0"/>
          <w:sz w:val="24"/>
          <w:szCs w:val="24"/>
        </w:rPr>
        <w:t>案例</w:t>
      </w:r>
      <w:r w:rsidR="00F37237">
        <w:rPr>
          <w:rFonts w:ascii="黑体" w:eastAsia="黑体" w:hAnsi="黑体"/>
          <w:b w:val="0"/>
          <w:bCs w:val="0"/>
          <w:sz w:val="24"/>
          <w:szCs w:val="24"/>
        </w:rPr>
        <w:t>7</w:t>
      </w:r>
      <w:r w:rsidRPr="00F01F10">
        <w:rPr>
          <w:rFonts w:ascii="黑体" w:eastAsia="黑体" w:hAnsi="黑体" w:hint="eastAsia"/>
          <w:b w:val="0"/>
          <w:bCs w:val="0"/>
          <w:sz w:val="24"/>
          <w:szCs w:val="24"/>
        </w:rPr>
        <w:t>：</w:t>
      </w:r>
      <w:r w:rsidR="00F01F10" w:rsidRPr="00F01F10">
        <w:rPr>
          <w:rFonts w:ascii="黑体" w:eastAsia="黑体" w:hAnsi="黑体" w:hint="eastAsia"/>
          <w:b w:val="0"/>
          <w:bCs w:val="0"/>
          <w:sz w:val="24"/>
          <w:szCs w:val="24"/>
        </w:rPr>
        <w:t>雷曼兄弟公司</w:t>
      </w:r>
      <w:bookmarkEnd w:id="7"/>
    </w:p>
    <w:p w14:paraId="76F263F6" w14:textId="42FF0C45" w:rsidR="00E34431"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cs="ArialMT"/>
          <w:color w:val="333333"/>
        </w:rPr>
        <w:t>2008</w:t>
      </w:r>
      <w:r w:rsidRPr="00882C67">
        <w:rPr>
          <w:rFonts w:hint="eastAsia"/>
          <w:color w:val="333333"/>
        </w:rPr>
        <w:t>年</w:t>
      </w:r>
      <w:r w:rsidRPr="00882C67">
        <w:rPr>
          <w:rFonts w:cs="ArialMT"/>
          <w:color w:val="333333"/>
        </w:rPr>
        <w:t>9</w:t>
      </w:r>
      <w:r w:rsidRPr="00882C67">
        <w:rPr>
          <w:rFonts w:hint="eastAsia"/>
          <w:color w:val="333333"/>
        </w:rPr>
        <w:t>月</w:t>
      </w:r>
      <w:r w:rsidRPr="00882C67">
        <w:rPr>
          <w:rFonts w:cs="ArialMT"/>
          <w:color w:val="333333"/>
        </w:rPr>
        <w:t>15</w:t>
      </w:r>
      <w:r w:rsidRPr="00882C67">
        <w:rPr>
          <w:rFonts w:hint="eastAsia"/>
          <w:color w:val="333333"/>
        </w:rPr>
        <w:t>日上午</w:t>
      </w:r>
      <w:r w:rsidRPr="00882C67">
        <w:rPr>
          <w:rFonts w:cs="ArialMT"/>
          <w:color w:val="333333"/>
        </w:rPr>
        <w:t>10</w:t>
      </w:r>
      <w:r w:rsidRPr="00882C67">
        <w:rPr>
          <w:rFonts w:hint="eastAsia"/>
          <w:color w:val="333333"/>
        </w:rPr>
        <w:t>点，拥有</w:t>
      </w:r>
      <w:r w:rsidRPr="00882C67">
        <w:rPr>
          <w:rFonts w:cs="ArialMT"/>
          <w:color w:val="333333"/>
        </w:rPr>
        <w:t>158</w:t>
      </w:r>
      <w:r w:rsidRPr="00882C67">
        <w:rPr>
          <w:rFonts w:hint="eastAsia"/>
          <w:color w:val="333333"/>
        </w:rPr>
        <w:t>年历史的美国第四大投资银行—雷曼兄弟公司向法院申请破产保护，消息瞬间传遍地球的各个角落。令人匪夷所思的是，在如此明朗的情况下，德国国家发展银行（</w:t>
      </w:r>
      <w:r w:rsidRPr="00882C67">
        <w:rPr>
          <w:rFonts w:cs="ArialMT"/>
          <w:color w:val="333333"/>
        </w:rPr>
        <w:t>KFW</w:t>
      </w:r>
      <w:r w:rsidRPr="00882C67">
        <w:rPr>
          <w:rFonts w:hint="eastAsia"/>
          <w:color w:val="333333"/>
        </w:rPr>
        <w:t>）于当日</w:t>
      </w:r>
      <w:r w:rsidRPr="00882C67">
        <w:rPr>
          <w:rFonts w:cs="ArialMT"/>
          <w:color w:val="333333"/>
        </w:rPr>
        <w:t>10</w:t>
      </w:r>
      <w:r w:rsidRPr="00882C67">
        <w:rPr>
          <w:rFonts w:hint="eastAsia"/>
          <w:color w:val="333333"/>
        </w:rPr>
        <w:t>点</w:t>
      </w:r>
      <w:r w:rsidRPr="00882C67">
        <w:rPr>
          <w:rFonts w:cs="ArialMT"/>
          <w:color w:val="333333"/>
        </w:rPr>
        <w:t>10</w:t>
      </w:r>
      <w:r w:rsidRPr="00882C67">
        <w:rPr>
          <w:rFonts w:hint="eastAsia"/>
          <w:color w:val="333333"/>
        </w:rPr>
        <w:t>分，居然按照外汇掉期协议的交易，通过计算机自动付款系统，向雷曼兄弟公司即将冻结的银行账户转入了</w:t>
      </w:r>
      <w:r w:rsidRPr="00882C67">
        <w:rPr>
          <w:rFonts w:cs="ArialMT"/>
          <w:color w:val="333333"/>
        </w:rPr>
        <w:t>3</w:t>
      </w:r>
      <w:r w:rsidRPr="00882C67">
        <w:rPr>
          <w:rFonts w:hint="eastAsia"/>
          <w:color w:val="333333"/>
        </w:rPr>
        <w:t>亿欧元。毫无疑问，</w:t>
      </w:r>
      <w:r w:rsidRPr="00882C67">
        <w:rPr>
          <w:rFonts w:cs="ArialMT"/>
          <w:color w:val="333333"/>
        </w:rPr>
        <w:t>3</w:t>
      </w:r>
      <w:r w:rsidRPr="00882C67">
        <w:rPr>
          <w:rFonts w:hint="eastAsia"/>
          <w:color w:val="333333"/>
        </w:rPr>
        <w:t>亿欧元将是肉包子打狗有去无回。转账风波曝光后，德国社会舆论哗然。销量最大的《图片报》在</w:t>
      </w:r>
      <w:r w:rsidRPr="00882C67">
        <w:rPr>
          <w:rFonts w:cs="ArialMT"/>
          <w:color w:val="333333"/>
        </w:rPr>
        <w:t>9</w:t>
      </w:r>
      <w:r w:rsidRPr="00882C67">
        <w:rPr>
          <w:rFonts w:hint="eastAsia"/>
          <w:color w:val="333333"/>
        </w:rPr>
        <w:t>月</w:t>
      </w:r>
      <w:r w:rsidRPr="00882C67">
        <w:rPr>
          <w:rFonts w:cs="ArialMT"/>
          <w:color w:val="333333"/>
        </w:rPr>
        <w:t>18</w:t>
      </w:r>
      <w:r w:rsidRPr="00882C67">
        <w:rPr>
          <w:rFonts w:hint="eastAsia"/>
          <w:color w:val="333333"/>
        </w:rPr>
        <w:t>日头版的标题中，指责德国国家发展银行是迄今为止“德国最愚蠢的银行”。以下是法律事务所调查员向国会和财政部递交的一份调查报告中的记载，它可以告诉我们</w:t>
      </w:r>
      <w:r w:rsidRPr="00882C67">
        <w:rPr>
          <w:rFonts w:hint="eastAsia"/>
          <w:color w:val="333333"/>
        </w:rPr>
        <w:lastRenderedPageBreak/>
        <w:t>在短暂而又关键的</w:t>
      </w:r>
      <w:r w:rsidRPr="00882C67">
        <w:rPr>
          <w:rFonts w:cs="ArialMT"/>
          <w:color w:val="333333"/>
        </w:rPr>
        <w:t>10</w:t>
      </w:r>
      <w:r w:rsidRPr="00882C67">
        <w:rPr>
          <w:rFonts w:hint="eastAsia"/>
          <w:color w:val="333333"/>
        </w:rPr>
        <w:t>分钟内，德国国家发展银行有关部门的人员都是怎么想，又是怎么做的。首席执行官乌尔里奇·施罗德：我知道今天要按照协议约定转账，至于是否撤销这笔巨额交易，应该让董事会讨论决定。董事长保鲁斯：我们还没有得到风险评估报告，无法及时做出正确的决策。董事长秘书史里芬：我打电话给国际业务部催要风险评估报告，可那里总是占线，我想还是隔一会再打吧。国际业务部经理克鲁克：星期五晚上准备带上全家人听音乐会，我得提前打电话预定门票。国际业务部副经理伊梅尔曼：忙于其他事，没时间去关心雷曼兄弟公司的消息。负责处理与雷曼兄弟公司业务的高级经理希特霍芬：我让文员上网浏览新闻，一旦有雷曼兄弟公司的消息就立即报告，现在我要去休息室喝杯咖啡了。文员施特鲁克：</w:t>
      </w:r>
      <w:r w:rsidRPr="00882C67">
        <w:rPr>
          <w:rFonts w:cs="ArialMT"/>
          <w:color w:val="333333"/>
        </w:rPr>
        <w:t>10</w:t>
      </w:r>
      <w:r w:rsidRPr="00882C67">
        <w:rPr>
          <w:rFonts w:hint="eastAsia"/>
          <w:color w:val="333333"/>
        </w:rPr>
        <w:t>点</w:t>
      </w:r>
      <w:r w:rsidRPr="00882C67">
        <w:rPr>
          <w:rFonts w:cs="ArialMT"/>
          <w:color w:val="333333"/>
        </w:rPr>
        <w:t>3</w:t>
      </w:r>
      <w:r w:rsidRPr="00882C67">
        <w:rPr>
          <w:rFonts w:hint="eastAsia"/>
          <w:color w:val="333333"/>
        </w:rPr>
        <w:t>分，我在网上看到了雷曼兄弟公司向法院申请破产保护的新闻，马上就跑到希特霍芬的办公室，可他不在，我就写了张便条放在办公桌上，他回来后会看到的。结算部经理德尔布吕克：今天是协议规定的交易日期，我没有接到停止交易的指令，那就按照原计划转账吧。结算部自动付款系统操作员曼斯坦因：德尔布吕克让我执行转账操作，我什么也没问就做了。信贷部经理莫德尔：我在走廊里碰到了施特鲁克，他告诉我雷曼兄弟公司破产的消息，但是我相信希特霍芬和其他职员的专业素养，一定不会犯低级错误，因此也没必要提醒他们。公关部经理贝克：雷曼兄弟公司破产是板上钉钉的事，我想跟乌尔里奇·施罗德谈谈这件事，但上午要会见几个克罗地亚客人，等下我再找他也不迟，反正不差这几个小时。</w:t>
      </w:r>
    </w:p>
    <w:p w14:paraId="480B795C" w14:textId="4A2C1F63" w:rsidR="00E34431"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rFonts w:cs="ArialMT"/>
          <w:color w:val="333333"/>
        </w:rPr>
      </w:pPr>
      <w:r w:rsidRPr="00882C67">
        <w:rPr>
          <w:rFonts w:hint="eastAsia"/>
          <w:color w:val="333333"/>
        </w:rPr>
        <w:t>要求：运用资金营运活动的关键风险点及控制措施的有关知识，分析该案例违背了哪些关键风险点</w:t>
      </w:r>
      <w:r w:rsidRPr="00882C67">
        <w:rPr>
          <w:rFonts w:cs="ArialMT"/>
          <w:color w:val="333333"/>
        </w:rPr>
        <w:t xml:space="preserve">? </w:t>
      </w:r>
    </w:p>
    <w:p w14:paraId="5E2BF469" w14:textId="2DDA7BCC" w:rsidR="00403FA6" w:rsidRPr="00882C67" w:rsidRDefault="00403FA6"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参考答案</w:t>
      </w:r>
      <w:r w:rsidRPr="00882C67">
        <w:rPr>
          <w:color w:val="333333"/>
        </w:rPr>
        <w:t>：</w:t>
      </w:r>
    </w:p>
    <w:p w14:paraId="19BCEA0B" w14:textId="783E69E2" w:rsidR="00403FA6" w:rsidRPr="00882C67" w:rsidRDefault="00403FA6"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资金营运活动的主要风险点包括：资金调度不合理、营运不畅，可能导致企业陷人财务困境或资金冗余；资金活动管控不严，可能导致资金被挪用、侵占、抽逃或遭受欺诈。资金营运是指企业日常生产经营中各类资金的组织和调度，保证资金正常循环周转的活动。本案例主要违背了资金活动管控不严这一关键风险点。面对这一风险，我们可以采取的措施是，通过内部资金的有效调度，可以调剂余缺，提高资金使用效率。企业应当定期组织召开资金调度会或资金安全检查，对资金预算执行情况进行综合分析，发现异常情况，及时采取措施妥善处理，避免资金冗余或资金链断裂。企业在营运过程中出现临时性资金短缺，可以通过短</w:t>
      </w:r>
      <w:r w:rsidRPr="00882C67">
        <w:rPr>
          <w:rFonts w:hint="eastAsia"/>
          <w:color w:val="333333"/>
        </w:rPr>
        <w:lastRenderedPageBreak/>
        <w:t>期融资等方式获取资金；出现短期闲置，在保证安全性和流动性的前提下，可以通过购买国债等多种方式，提高资金效益。在资金营运内部控制中，严谨的流程设计与审批权限的划分十分重要，它不仅应考虑正常情况应当采取的流程，而且应当考虑某些特殊情况出现时应该采取的措施，否则就会违背内部控制的精髓，进而使内部控制失效。首席执行官乌尔里奇·施罗德和董事长保鲁斯的做法就证明了这一点。如果他们不完全依赖正常情况出现时所应采取的流程，而是在非常事件出现时采取非常措施，那么</w:t>
      </w:r>
      <w:r w:rsidRPr="00882C67">
        <w:rPr>
          <w:color w:val="333333"/>
        </w:rPr>
        <w:t>3亿欧元的损失就有可能避免。</w:t>
      </w:r>
    </w:p>
    <w:p w14:paraId="44FB5B38" w14:textId="5B8EA84B" w:rsidR="00F01F10" w:rsidRPr="00F01F10" w:rsidRDefault="00E34431" w:rsidP="00F01F10">
      <w:pPr>
        <w:pStyle w:val="3"/>
        <w:rPr>
          <w:rFonts w:ascii="黑体" w:eastAsia="黑体" w:hAnsi="黑体"/>
          <w:b w:val="0"/>
          <w:bCs w:val="0"/>
          <w:sz w:val="24"/>
          <w:szCs w:val="24"/>
        </w:rPr>
      </w:pPr>
      <w:bookmarkStart w:id="8" w:name="_Toc112172047"/>
      <w:r w:rsidRPr="00F01F10">
        <w:rPr>
          <w:rFonts w:ascii="黑体" w:eastAsia="黑体" w:hAnsi="黑体" w:hint="eastAsia"/>
          <w:b w:val="0"/>
          <w:bCs w:val="0"/>
          <w:sz w:val="24"/>
          <w:szCs w:val="24"/>
        </w:rPr>
        <w:t>案例</w:t>
      </w:r>
      <w:r w:rsidR="00F37237">
        <w:rPr>
          <w:rFonts w:ascii="黑体" w:eastAsia="黑体" w:hAnsi="黑体"/>
          <w:b w:val="0"/>
          <w:bCs w:val="0"/>
          <w:sz w:val="24"/>
          <w:szCs w:val="24"/>
        </w:rPr>
        <w:t>8</w:t>
      </w:r>
      <w:r w:rsidRPr="00F01F10">
        <w:rPr>
          <w:rFonts w:ascii="黑体" w:eastAsia="黑体" w:hAnsi="黑体" w:hint="eastAsia"/>
          <w:b w:val="0"/>
          <w:bCs w:val="0"/>
          <w:sz w:val="24"/>
          <w:szCs w:val="24"/>
        </w:rPr>
        <w:t>：</w:t>
      </w:r>
      <w:r w:rsidR="00F01F10" w:rsidRPr="00F01F10">
        <w:rPr>
          <w:rFonts w:ascii="黑体" w:eastAsia="黑体" w:hAnsi="黑体" w:hint="eastAsia"/>
          <w:b w:val="0"/>
          <w:bCs w:val="0"/>
          <w:sz w:val="24"/>
          <w:szCs w:val="24"/>
        </w:rPr>
        <w:t>浙江景兴纸业股份有限公司</w:t>
      </w:r>
      <w:bookmarkEnd w:id="8"/>
    </w:p>
    <w:p w14:paraId="45B61FAB" w14:textId="0A24E895"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浙江景兴纸业股份有限公司地处长三角杭嘉湖平原中心地带临近上海，地理条件优越交通便利是全国最大的三家以专业生产</w:t>
      </w:r>
      <w:r w:rsidRPr="00882C67">
        <w:rPr>
          <w:rFonts w:cs="ArialMT"/>
          <w:color w:val="333333"/>
        </w:rPr>
        <w:t xml:space="preserve">A </w:t>
      </w:r>
      <w:r w:rsidRPr="00882C67">
        <w:rPr>
          <w:rFonts w:hint="eastAsia"/>
          <w:color w:val="333333"/>
        </w:rPr>
        <w:t>级、</w:t>
      </w:r>
      <w:r w:rsidRPr="00882C67">
        <w:rPr>
          <w:rFonts w:cs="ArialMT"/>
          <w:color w:val="333333"/>
        </w:rPr>
        <w:t xml:space="preserve">AA </w:t>
      </w:r>
      <w:r w:rsidRPr="00882C67">
        <w:rPr>
          <w:rFonts w:hint="eastAsia"/>
          <w:color w:val="333333"/>
        </w:rPr>
        <w:t>级牛皮箱板纸为主的造纸企业之一。自2</w:t>
      </w:r>
      <w:r w:rsidRPr="00882C67">
        <w:rPr>
          <w:color w:val="333333"/>
        </w:rPr>
        <w:t>012</w:t>
      </w:r>
      <w:r w:rsidRPr="00882C67">
        <w:rPr>
          <w:rFonts w:hint="eastAsia"/>
          <w:color w:val="333333"/>
        </w:rPr>
        <w:t>成立以来，公司一直重视管理制度的建设和完善。公司的检查小组在对一家子公司销售业务内部控制进行检查时，发现该子公司的现有业务流程如下：</w:t>
      </w:r>
    </w:p>
    <w:p w14:paraId="61426E57" w14:textId="77777777"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在销售过程中，公司销售业务按照销售合同进行，当生产车间产品完工后，填制产成品入库单，验收合格后入库。销售部门根据销售合同编制发货通知单，分别通知仓库发货和运输部门办理托运手续。产品发出后，销售部门根据仓库签发后转来的发货通知单开具发票，并据以登记产成品明细账，运输部门将其与销售发票一并送交财务部门。财务部门将其与销售合同核对后，开具运杂费清单，通知出纳人员办理货款结算，并进行账务处理。但是，公司未设独立的客户信用调查机构，在财务部门和销售部门也没有专人负责此项工作。同时发现：①该厂厂长甲某可以处理与销售和收款有关的所有业务；②财务科根据甲某的指令开具销售发票时，甲某说多少就是多少；③仓储部门发货人员根据甲某的指令给客户发运货物；④仓库里没有库存明细账及货物进出库记录，销售成本按估算的毛利率计算；⑤从甲某担任厂长以来，销售合同、销售计划、销售通知单、发货凭证、运货凭证以及销售发票等文件和凭证从未进行核对；⑥财务科根据销售发票确认应收账款。</w:t>
      </w:r>
    </w:p>
    <w:p w14:paraId="426EB407" w14:textId="7E14EBD8"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要求：运用销售业务有关知识，分析这一案例违背了销售业务的哪些关键风险点，应运用何种控制措施加以预防？</w:t>
      </w:r>
    </w:p>
    <w:p w14:paraId="573297C1" w14:textId="0FF4EC37"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lastRenderedPageBreak/>
        <w:t>分析提示：</w:t>
      </w:r>
      <w:r w:rsidRPr="00882C67">
        <w:rPr>
          <w:color w:val="333333"/>
        </w:rPr>
        <w:t xml:space="preserve"> 销售业务的关键风险点包括：销售计划管理、客户信用管理、确定定</w:t>
      </w:r>
      <w:r w:rsidRPr="00882C67">
        <w:rPr>
          <w:rFonts w:hint="eastAsia"/>
          <w:color w:val="333333"/>
        </w:rPr>
        <w:t>价机制和信用方式、订立销售合同、发货、客户服务、收款、会计系统控制。本案例主要违背的关键风险点是：</w:t>
      </w:r>
    </w:p>
    <w:p w14:paraId="1DAC1B3B" w14:textId="4C060648"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1）销售计划管理，该环节的主要风险包括：销售计划缺乏或不合理，或未经授权审</w:t>
      </w:r>
      <w:r w:rsidRPr="00882C67">
        <w:rPr>
          <w:rFonts w:hint="eastAsia"/>
          <w:color w:val="333333"/>
        </w:rPr>
        <w:t>批等，导致产品结构和生产安排不合理，库存积压。企业应根据发展战略，结合销售预测、生产能力以及客户订单情况，制定年度、月度销售计划；要不断根据实际情况，及时调整销售计划，并按程序进行审批。</w:t>
      </w:r>
    </w:p>
    <w:p w14:paraId="03A8C0F9" w14:textId="513044FE"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2）客户信用管理，该环节的主要风险包括：客户信用档案不健全，缺乏对客户资信</w:t>
      </w:r>
      <w:r w:rsidRPr="00882C67">
        <w:rPr>
          <w:rFonts w:hint="eastAsia"/>
          <w:color w:val="333333"/>
        </w:rPr>
        <w:t>的评估，可能造成客户选择不当、款项不能及时收回或遭受欺诈，影响企业现金流和正常经营。</w:t>
      </w:r>
    </w:p>
    <w:p w14:paraId="1CCF1131" w14:textId="750B6F9C" w:rsidR="00AE1C2E" w:rsidRPr="00882C67" w:rsidRDefault="00AE1C2E"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3）发货，该环节的主要风险包括：未经授权发货、发货不符合合同约定或者发货程</w:t>
      </w:r>
      <w:r w:rsidRPr="00882C67">
        <w:rPr>
          <w:rFonts w:hint="eastAsia"/>
          <w:color w:val="333333"/>
        </w:rPr>
        <w:t>序不规范，可能造成货物损失或发货错误，引发销售争议，影响货款收回。该企业的发货管理不合</w:t>
      </w:r>
      <w:proofErr w:type="gramStart"/>
      <w:r w:rsidRPr="00882C67">
        <w:rPr>
          <w:rFonts w:hint="eastAsia"/>
          <w:color w:val="333333"/>
        </w:rPr>
        <w:t>规</w:t>
      </w:r>
      <w:proofErr w:type="gramEnd"/>
      <w:r w:rsidRPr="00882C67">
        <w:rPr>
          <w:rFonts w:hint="eastAsia"/>
          <w:color w:val="333333"/>
        </w:rPr>
        <w:t>，为了防止损失：第一，企业销售部门应当按照经批准的销售合同开具相关销售通知；第二，企业应当严格按照发票管理规定开具销售发票，严禁开具虚假发票。</w:t>
      </w:r>
    </w:p>
    <w:p w14:paraId="587C4BCD" w14:textId="78BC76A7" w:rsidR="00AE1C2E" w:rsidRPr="00882C67" w:rsidRDefault="00AE1C2E"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4）收款，该环节的主要风险包括：结算方式选择不当、账款回收不力、票据审查和</w:t>
      </w:r>
      <w:r w:rsidRPr="00882C67">
        <w:rPr>
          <w:rFonts w:hint="eastAsia"/>
          <w:color w:val="333333"/>
        </w:rPr>
        <w:t>管理不善，使企业经济利益受损。该企业的发货、收款完全受制于甲某，为了防止损失：第一，企业应结合销售政策和信用政策，选择恰当的结算方式；第二，企业应当完善应收款项管理制度，落实责任，严格考核，实行奖惩；第三，企业应当加强商业票据管理，明确商业票据的受理范围，严格审查商业票据的真实性和合法性，防止票据欺诈。</w:t>
      </w:r>
    </w:p>
    <w:p w14:paraId="43D3A2FC" w14:textId="61EB9D93" w:rsidR="00AE1C2E" w:rsidRPr="00882C67" w:rsidRDefault="00AE1C2E"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5）会计系统控制，该环节的主要风险包括：销售业务会计记录和处理不及时、不准</w:t>
      </w:r>
      <w:r w:rsidRPr="00882C67">
        <w:rPr>
          <w:rFonts w:hint="eastAsia"/>
          <w:color w:val="333333"/>
        </w:rPr>
        <w:t>确，造成企业账实不符、账</w:t>
      </w:r>
      <w:proofErr w:type="gramStart"/>
      <w:r w:rsidRPr="00882C67">
        <w:rPr>
          <w:rFonts w:hint="eastAsia"/>
          <w:color w:val="333333"/>
        </w:rPr>
        <w:t>账</w:t>
      </w:r>
      <w:proofErr w:type="gramEnd"/>
      <w:r w:rsidRPr="00882C67">
        <w:rPr>
          <w:rFonts w:hint="eastAsia"/>
          <w:color w:val="333333"/>
        </w:rPr>
        <w:t>不符、账证不符等，不能反映企业利润和经济资源的真实情况。自甲某担任厂长以来，该企业的账务处理极不规范，为了改善这种状况，企业应当加强对销售、发货、收款业务的会计系统控制，详细记录销售客户、销售合同、销售通知、发运凭证、商业票据、款项收回等情况，确保会计记录、销售记录与仓储记录核对一致。</w:t>
      </w:r>
    </w:p>
    <w:p w14:paraId="6E4AD7D0" w14:textId="17B98D53" w:rsidR="00F01F10" w:rsidRPr="00F01F10" w:rsidRDefault="00AB01A9" w:rsidP="00F01F10">
      <w:pPr>
        <w:pStyle w:val="3"/>
        <w:rPr>
          <w:rFonts w:ascii="黑体" w:eastAsia="黑体" w:hAnsi="黑体"/>
          <w:b w:val="0"/>
          <w:bCs w:val="0"/>
          <w:sz w:val="24"/>
          <w:szCs w:val="24"/>
        </w:rPr>
      </w:pPr>
      <w:bookmarkStart w:id="9" w:name="_Toc112172048"/>
      <w:r w:rsidRPr="00F01F10">
        <w:rPr>
          <w:rFonts w:ascii="黑体" w:eastAsia="黑体" w:hAnsi="黑体" w:hint="eastAsia"/>
          <w:b w:val="0"/>
          <w:bCs w:val="0"/>
          <w:sz w:val="24"/>
          <w:szCs w:val="24"/>
        </w:rPr>
        <w:lastRenderedPageBreak/>
        <w:t>案例</w:t>
      </w:r>
      <w:r w:rsidR="00F37237">
        <w:rPr>
          <w:rFonts w:ascii="黑体" w:eastAsia="黑体" w:hAnsi="黑体"/>
          <w:b w:val="0"/>
          <w:bCs w:val="0"/>
          <w:sz w:val="24"/>
          <w:szCs w:val="24"/>
        </w:rPr>
        <w:t>9</w:t>
      </w:r>
      <w:r w:rsidRPr="00F01F10">
        <w:rPr>
          <w:rFonts w:ascii="黑体" w:eastAsia="黑体" w:hAnsi="黑体" w:hint="eastAsia"/>
          <w:b w:val="0"/>
          <w:bCs w:val="0"/>
          <w:sz w:val="24"/>
          <w:szCs w:val="24"/>
        </w:rPr>
        <w:t>：</w:t>
      </w:r>
      <w:r w:rsidR="00F01F10" w:rsidRPr="00F01F10">
        <w:rPr>
          <w:rFonts w:ascii="黑体" w:eastAsia="黑体" w:hAnsi="黑体" w:hint="eastAsia"/>
          <w:b w:val="0"/>
          <w:bCs w:val="0"/>
          <w:sz w:val="24"/>
          <w:szCs w:val="24"/>
        </w:rPr>
        <w:t>浙江永联民爆器材有限公司永进分公司</w:t>
      </w:r>
      <w:bookmarkEnd w:id="9"/>
    </w:p>
    <w:p w14:paraId="698D0D63" w14:textId="240BA878"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浙江永联民爆器材有限公司永进分公司</w:t>
      </w:r>
      <w:r w:rsidRPr="00882C67">
        <w:rPr>
          <w:rFonts w:cs="ArialMT"/>
          <w:color w:val="333333"/>
        </w:rPr>
        <w:t>(</w:t>
      </w:r>
      <w:r w:rsidRPr="00882C67">
        <w:rPr>
          <w:rFonts w:hint="eastAsia"/>
          <w:color w:val="333333"/>
        </w:rPr>
        <w:t>简称“永进公司”</w:t>
      </w:r>
      <w:r w:rsidRPr="00882C67">
        <w:rPr>
          <w:rFonts w:cs="ArialMT"/>
          <w:color w:val="333333"/>
        </w:rPr>
        <w:t>)</w:t>
      </w:r>
      <w:r w:rsidRPr="00882C67">
        <w:rPr>
          <w:rFonts w:hint="eastAsia"/>
          <w:color w:val="333333"/>
        </w:rPr>
        <w:t>是一家以从事民</w:t>
      </w:r>
      <w:proofErr w:type="gramStart"/>
      <w:r w:rsidRPr="00882C67">
        <w:rPr>
          <w:rFonts w:hint="eastAsia"/>
          <w:color w:val="333333"/>
        </w:rPr>
        <w:t>爆产品</w:t>
      </w:r>
      <w:proofErr w:type="gramEnd"/>
      <w:r w:rsidRPr="00882C67">
        <w:rPr>
          <w:rFonts w:hint="eastAsia"/>
          <w:color w:val="333333"/>
        </w:rPr>
        <w:t>为主的国有控股公司的下属分公司。永进公司凭借其完善的内部控制制度成为永联公司最大的分公司，在销售业绩方面遥遥领先。通过不断探索和实践，公司在销售业务内部控制建设和执行方面，逐步形成了一套适合本公司经营特点的执行体系。</w:t>
      </w:r>
    </w:p>
    <w:p w14:paraId="0684647E" w14:textId="77777777"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cs="ArialMT"/>
          <w:color w:val="333333"/>
        </w:rPr>
        <w:t>(1)</w:t>
      </w:r>
      <w:r w:rsidRPr="00882C67">
        <w:rPr>
          <w:rFonts w:hint="eastAsia"/>
          <w:color w:val="333333"/>
        </w:rPr>
        <w:t>销售风险分析</w:t>
      </w:r>
      <w:r w:rsidR="00AB01A9" w:rsidRPr="00882C67">
        <w:rPr>
          <w:rFonts w:hint="eastAsia"/>
          <w:color w:val="333333"/>
        </w:rPr>
        <w:t>：</w:t>
      </w:r>
      <w:r w:rsidRPr="00882C67">
        <w:rPr>
          <w:rFonts w:hint="eastAsia"/>
          <w:color w:val="333333"/>
        </w:rPr>
        <w:t>永进公司系高危民</w:t>
      </w:r>
      <w:proofErr w:type="gramStart"/>
      <w:r w:rsidRPr="00882C67">
        <w:rPr>
          <w:rFonts w:hint="eastAsia"/>
          <w:color w:val="333333"/>
        </w:rPr>
        <w:t>爆产品</w:t>
      </w:r>
      <w:proofErr w:type="gramEnd"/>
      <w:r w:rsidRPr="00882C67">
        <w:rPr>
          <w:rFonts w:hint="eastAsia"/>
          <w:color w:val="333333"/>
        </w:rPr>
        <w:t>生产企业，国家对该行业的销售管理非常严格。公司结合民</w:t>
      </w:r>
      <w:proofErr w:type="gramStart"/>
      <w:r w:rsidRPr="00882C67">
        <w:rPr>
          <w:rFonts w:hint="eastAsia"/>
          <w:color w:val="333333"/>
        </w:rPr>
        <w:t>爆行业</w:t>
      </w:r>
      <w:proofErr w:type="gramEnd"/>
      <w:r w:rsidRPr="00882C67">
        <w:rPr>
          <w:rFonts w:hint="eastAsia"/>
          <w:color w:val="333333"/>
        </w:rPr>
        <w:t>特点，总结出销售环节主要存在的风险如下：①销售政策和策略不当，市场预测不准确，造成销售不畅。②销售后继服务管理不当，造成客户流失。③客户信用管理不到位，结算方式选择不当，应收账款回收不力，导致销售款项不能收回或遭受欺诈。④销售运输安全管理不到位，导致企业利益受损。</w:t>
      </w:r>
    </w:p>
    <w:p w14:paraId="132D3B69" w14:textId="77777777"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cs="ArialMT"/>
          <w:color w:val="333333"/>
        </w:rPr>
        <w:t>(2)</w:t>
      </w:r>
      <w:r w:rsidRPr="00882C67">
        <w:rPr>
          <w:rFonts w:hint="eastAsia"/>
          <w:color w:val="333333"/>
        </w:rPr>
        <w:t>永进公司销售业务控制执行</w:t>
      </w:r>
      <w:r w:rsidR="00AB01A9" w:rsidRPr="00882C67">
        <w:rPr>
          <w:rFonts w:hint="eastAsia"/>
          <w:color w:val="333333"/>
        </w:rPr>
        <w:t>：</w:t>
      </w:r>
      <w:r w:rsidRPr="00882C67">
        <w:rPr>
          <w:rFonts w:hint="eastAsia"/>
          <w:color w:val="333333"/>
        </w:rPr>
        <w:t>①市场调研与销售计划制订公司十分重视市场前期的调研，按照形势需要调查客户合法资质、市场寻求量等相关情况；并召开各地区用户座谈会，及时了解市场信息、需求情况，并在此基础上进行市场预测，结合客户订单情况科学地制订销售年度、月度销售计划。同时，公司也针对销售计划的制订过程规范了决策审批程序，彻底避免“拍脑门”、“一言堂”等违规现象的出现。②客户信用管理公司专门建立了客户信用管理机构，并配备了业务能力强、经验丰富的专业人员。公司十分重视客户信用的调查和管理，制定了严格的《客户信用管理制度》。公司不定期地派遣业务员对一些比较大的客户进行深入跟踪调查，并初步建立了客户信用档案。同时，该机构与收款部门合作，对所有与公司有业务往来的客户的还款情况、赊账记录进行存档、分析，并对其进行评价，以便于将来的收款管理和客户信用调查。③合同订立的谈判工作通过前期调研，公司对调查档案进行分析，初步决定与认为有合作可能的客户进行接触、洽谈、磋商，对公司产品的价格、信用政策、发货和结算方式等相关内容进行交流，通过谈判达成一致意见，订立销售合同。公司制定了严格的《合同管理制度》，从而从法律角度保障了交易的顺利进行，为以后债权的收回提供了法律依据，降低了坏账风险。对于炸药产品销售合同，由于其产品的特殊性，须由经办人及其部门、分管领导审核后，由总经理审批才可办理，由于涉及财务方</w:t>
      </w:r>
      <w:r w:rsidRPr="00882C67">
        <w:rPr>
          <w:rFonts w:hint="eastAsia"/>
          <w:color w:val="333333"/>
        </w:rPr>
        <w:lastRenderedPageBreak/>
        <w:t>面问题的合同风险，因此财务部门也必须参与合同的审核。④发货过程管理公司规定发货部门应当对发货单据进行审核，严格按照销售通知单所列的内容组织发货；建立货物出库、发运等环节的岗位责任制，并建立追责制；以运输合同的形式明确运输方式、相关责任、保险等内容，确保货物的安全发运，并由客户验收确认。⑤收款环节的相关控制</w:t>
      </w:r>
      <w:r w:rsidRPr="00882C67">
        <w:rPr>
          <w:rFonts w:cs="ArialMT"/>
          <w:color w:val="333333"/>
        </w:rPr>
        <w:t>A.</w:t>
      </w:r>
      <w:r w:rsidRPr="00882C67">
        <w:rPr>
          <w:rFonts w:hint="eastAsia"/>
          <w:color w:val="333333"/>
        </w:rPr>
        <w:t>赊销管理永进公司每年都会根据全年的销量及客户情况，核定月赊销量。销售人员根据对客户的日常走访和调查情况，针对每个客户制定赊销额度，将一般客户控制在额度内，由经办人员办理，分管领导审批；对于特殊客户赊销产品，必须由部门提出申请，经分管领导审核、总经理审批后才可以赊销。</w:t>
      </w:r>
      <w:r w:rsidRPr="00882C67">
        <w:rPr>
          <w:rFonts w:cs="ArialMT"/>
          <w:color w:val="333333"/>
        </w:rPr>
        <w:t>B</w:t>
      </w:r>
      <w:r w:rsidRPr="00882C67">
        <w:rPr>
          <w:rFonts w:hint="eastAsia"/>
          <w:color w:val="333333"/>
        </w:rPr>
        <w:t>．收款管理企业对所有新客户都要进行调查，建立客户信息档案，特别是对新开发的客户，建立严格的信用保证金制度，超过保证金后一律不予发货，将收账风险控制在可控范围之内。为了保证及时收款，财务部每月</w:t>
      </w:r>
      <w:r w:rsidRPr="00882C67">
        <w:rPr>
          <w:rFonts w:cs="ArialMT"/>
          <w:color w:val="333333"/>
        </w:rPr>
        <w:t>4</w:t>
      </w:r>
      <w:r w:rsidRPr="00882C67">
        <w:rPr>
          <w:rFonts w:hint="eastAsia"/>
          <w:color w:val="333333"/>
        </w:rPr>
        <w:t>次将收款情况通过公司的办公自动化</w:t>
      </w:r>
      <w:r w:rsidRPr="00882C67">
        <w:rPr>
          <w:rFonts w:cs="ArialMT"/>
          <w:color w:val="333333"/>
        </w:rPr>
        <w:t>(OA)</w:t>
      </w:r>
      <w:r w:rsidRPr="00882C67">
        <w:rPr>
          <w:rFonts w:hint="eastAsia"/>
          <w:color w:val="333333"/>
        </w:rPr>
        <w:t>系统，向相关的销售人员公布，对于欠款金额较大的随时提出，督促销售部门及时催收。每个季度财务部门都将应收款明细交给销售部门相关经办人员，由经办人及时与各个单位对账及催收。</w:t>
      </w:r>
    </w:p>
    <w:p w14:paraId="56F5756E" w14:textId="4ED0042C"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rFonts w:cs="ArialMT"/>
          <w:color w:val="333333"/>
        </w:rPr>
      </w:pPr>
      <w:r w:rsidRPr="00882C67">
        <w:rPr>
          <w:rFonts w:hint="eastAsia"/>
          <w:color w:val="333333"/>
        </w:rPr>
        <w:t>要求：运用销售业务有关知识，分析永进公司都对销售业务的哪些关键风险点进行了识别和控制</w:t>
      </w:r>
      <w:r w:rsidRPr="00882C67">
        <w:rPr>
          <w:rFonts w:cs="ArialMT"/>
          <w:color w:val="333333"/>
        </w:rPr>
        <w:t>?</w:t>
      </w:r>
    </w:p>
    <w:p w14:paraId="46BF2500" w14:textId="77777777"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参考答案：</w:t>
      </w:r>
    </w:p>
    <w:p w14:paraId="2DFB5C99" w14:textId="77777777"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color w:val="333333"/>
        </w:rPr>
        <w:t>销售业务的关键风险点包括：销售计划管理、客户信用管理、确定定</w:t>
      </w:r>
      <w:r w:rsidRPr="00882C67">
        <w:rPr>
          <w:rFonts w:hint="eastAsia"/>
          <w:color w:val="333333"/>
        </w:rPr>
        <w:t>价机制和信用方式、订立销售合同、发货、客户服务、收款、会计系统控制。本案例主要违背的关键风险点是：</w:t>
      </w:r>
    </w:p>
    <w:p w14:paraId="1F1C2D21" w14:textId="77777777"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1）销售计划管理，该环节的主要风险包括：销售计划缺乏或不合理，或未经授权审</w:t>
      </w:r>
      <w:r w:rsidRPr="00882C67">
        <w:rPr>
          <w:rFonts w:hint="eastAsia"/>
          <w:color w:val="333333"/>
        </w:rPr>
        <w:t>批等，导致产品结构和生产安排不合理，库存积压。企业应根据发展战略，结合销售预测、生产能力以及客户订单情况，制定年度、月度销售计划；要不断根据实际情况，及时调整销售计划，并按程序进行审批。</w:t>
      </w:r>
    </w:p>
    <w:p w14:paraId="16FC12C6" w14:textId="77777777"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2）客户信用管理，该环节的主要风险包括：客户信用档案不健全，缺乏对客户资信</w:t>
      </w:r>
      <w:r w:rsidRPr="00882C67">
        <w:rPr>
          <w:rFonts w:hint="eastAsia"/>
          <w:color w:val="333333"/>
        </w:rPr>
        <w:t>的评估，可能造成客户选择不当、款项不能及时收回或遭受欺诈，影响企业现金流和正常经营。</w:t>
      </w:r>
    </w:p>
    <w:p w14:paraId="5F68E9DA" w14:textId="77777777"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3）发货，该环节的主要风险包括：未经授权发货、发货不符合合同约定或者发货程</w:t>
      </w:r>
      <w:r w:rsidRPr="00882C67">
        <w:rPr>
          <w:rFonts w:hint="eastAsia"/>
          <w:color w:val="333333"/>
        </w:rPr>
        <w:t>序不规范，可能造成货物损失或发货错误，引发销售争议，影响货款收回。该企业的发货管理不合</w:t>
      </w:r>
      <w:proofErr w:type="gramStart"/>
      <w:r w:rsidRPr="00882C67">
        <w:rPr>
          <w:rFonts w:hint="eastAsia"/>
          <w:color w:val="333333"/>
        </w:rPr>
        <w:t>规</w:t>
      </w:r>
      <w:proofErr w:type="gramEnd"/>
      <w:r w:rsidRPr="00882C67">
        <w:rPr>
          <w:rFonts w:hint="eastAsia"/>
          <w:color w:val="333333"/>
        </w:rPr>
        <w:t>，为了防止损失：第一，企业销售部门应当按照</w:t>
      </w:r>
      <w:r w:rsidRPr="00882C67">
        <w:rPr>
          <w:rFonts w:hint="eastAsia"/>
          <w:color w:val="333333"/>
        </w:rPr>
        <w:lastRenderedPageBreak/>
        <w:t>经批准的销售合同开具相关销售通知；第二，企业应当严格按照发票管理规定开具销售发票，严禁开具虚假发票。</w:t>
      </w:r>
    </w:p>
    <w:p w14:paraId="56E04BAD" w14:textId="77777777"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4）收款，该环节的主要风险包括：结算方式选择不当、账款回收不力、票据审查和</w:t>
      </w:r>
      <w:r w:rsidRPr="00882C67">
        <w:rPr>
          <w:rFonts w:hint="eastAsia"/>
          <w:color w:val="333333"/>
        </w:rPr>
        <w:t>管理不善，使企业经济利益受损。该企业的发货、收款完全受制于甲某，为了防止损失：第一，企业应结合销售政策和信用政策，选择恰当的结算方式；第二，企业应当完善应收款项管理制度，落实责任，严格考核，实行奖惩；第三，企业应当加强商业票据管理，明确商业票据的受理范围，严格审查商业票据的真实性和合法性，防止票据欺诈。</w:t>
      </w:r>
    </w:p>
    <w:p w14:paraId="75C412DF" w14:textId="77777777" w:rsidR="00E70A81" w:rsidRPr="00882C67" w:rsidRDefault="00E70A8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5）会计系统控制，该环节的主要风险包括：销售业务会计记录和处理不及时、不准</w:t>
      </w:r>
      <w:r w:rsidRPr="00882C67">
        <w:rPr>
          <w:rFonts w:hint="eastAsia"/>
          <w:color w:val="333333"/>
        </w:rPr>
        <w:t>确，造成企业账实不符、账</w:t>
      </w:r>
      <w:proofErr w:type="gramStart"/>
      <w:r w:rsidRPr="00882C67">
        <w:rPr>
          <w:rFonts w:hint="eastAsia"/>
          <w:color w:val="333333"/>
        </w:rPr>
        <w:t>账</w:t>
      </w:r>
      <w:proofErr w:type="gramEnd"/>
      <w:r w:rsidRPr="00882C67">
        <w:rPr>
          <w:rFonts w:hint="eastAsia"/>
          <w:color w:val="333333"/>
        </w:rPr>
        <w:t>不符、账证不符等，不能反映企业利润和经济资源的真实情况。自甲某担任厂长以来，该企业的账务处理极不规范，为了改善这种状况，企业应当加强对销售、发货、收款业务的会计系统控制，详细记录销售客户、销售合同、销售通知、发运凭证、商业票据、款项收回等情况，确保会计记录、销售记录与仓储记录核对一致。</w:t>
      </w:r>
    </w:p>
    <w:p w14:paraId="18C357C1" w14:textId="6BE88726" w:rsidR="00F01F10" w:rsidRPr="00F01F10" w:rsidRDefault="00AB01A9" w:rsidP="00F01F10">
      <w:pPr>
        <w:pStyle w:val="3"/>
        <w:rPr>
          <w:rFonts w:ascii="黑体" w:eastAsia="黑体" w:hAnsi="黑体"/>
          <w:b w:val="0"/>
          <w:bCs w:val="0"/>
          <w:sz w:val="24"/>
          <w:szCs w:val="24"/>
        </w:rPr>
      </w:pPr>
      <w:bookmarkStart w:id="10" w:name="_Toc112172049"/>
      <w:r w:rsidRPr="00F01F10">
        <w:rPr>
          <w:rFonts w:ascii="黑体" w:eastAsia="黑体" w:hAnsi="黑体" w:hint="eastAsia"/>
          <w:b w:val="0"/>
          <w:bCs w:val="0"/>
          <w:sz w:val="24"/>
          <w:szCs w:val="24"/>
        </w:rPr>
        <w:t>案例</w:t>
      </w:r>
      <w:r w:rsidR="00F37237">
        <w:rPr>
          <w:rFonts w:ascii="黑体" w:eastAsia="黑体" w:hAnsi="黑体"/>
          <w:b w:val="0"/>
          <w:bCs w:val="0"/>
          <w:sz w:val="24"/>
          <w:szCs w:val="24"/>
        </w:rPr>
        <w:t>10</w:t>
      </w:r>
      <w:r w:rsidRPr="00F01F10">
        <w:rPr>
          <w:rFonts w:ascii="黑体" w:eastAsia="黑体" w:hAnsi="黑体" w:hint="eastAsia"/>
          <w:b w:val="0"/>
          <w:bCs w:val="0"/>
          <w:sz w:val="24"/>
          <w:szCs w:val="24"/>
        </w:rPr>
        <w:t>：</w:t>
      </w:r>
      <w:r w:rsidR="00F01F10" w:rsidRPr="00F01F10">
        <w:rPr>
          <w:rFonts w:ascii="黑体" w:eastAsia="黑体" w:hAnsi="黑体"/>
          <w:b w:val="0"/>
          <w:bCs w:val="0"/>
          <w:sz w:val="24"/>
          <w:szCs w:val="24"/>
        </w:rPr>
        <w:t>A</w:t>
      </w:r>
      <w:r w:rsidR="00F01F10" w:rsidRPr="00F01F10">
        <w:rPr>
          <w:rFonts w:ascii="黑体" w:eastAsia="黑体" w:hAnsi="黑体" w:hint="eastAsia"/>
          <w:b w:val="0"/>
          <w:bCs w:val="0"/>
          <w:sz w:val="24"/>
          <w:szCs w:val="24"/>
        </w:rPr>
        <w:t>公司投资案</w:t>
      </w:r>
      <w:bookmarkEnd w:id="10"/>
    </w:p>
    <w:p w14:paraId="26AAA796" w14:textId="268A0A8C"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cs="ArialMT"/>
          <w:color w:val="333333"/>
        </w:rPr>
        <w:t>2005</w:t>
      </w:r>
      <w:r w:rsidRPr="00882C67">
        <w:rPr>
          <w:rFonts w:hint="eastAsia"/>
          <w:color w:val="333333"/>
        </w:rPr>
        <w:t>年年初，</w:t>
      </w:r>
      <w:r w:rsidRPr="00882C67">
        <w:rPr>
          <w:rFonts w:cs="ArialMT"/>
          <w:color w:val="333333"/>
        </w:rPr>
        <w:t xml:space="preserve">A </w:t>
      </w:r>
      <w:r w:rsidRPr="00882C67">
        <w:rPr>
          <w:rFonts w:hint="eastAsia"/>
          <w:color w:val="333333"/>
        </w:rPr>
        <w:t>公司投资兴建小水电站项目获批。当地某负责人表示，为节约成本，可为</w:t>
      </w:r>
      <w:r w:rsidRPr="00882C67">
        <w:rPr>
          <w:rFonts w:cs="ArialMT"/>
          <w:color w:val="333333"/>
        </w:rPr>
        <w:t xml:space="preserve">A </w:t>
      </w:r>
      <w:r w:rsidRPr="00882C67">
        <w:rPr>
          <w:rFonts w:hint="eastAsia"/>
          <w:color w:val="333333"/>
        </w:rPr>
        <w:t>公司指定可靠的设计和施工单位。</w:t>
      </w:r>
      <w:r w:rsidRPr="00882C67">
        <w:rPr>
          <w:rFonts w:cs="ArialMT"/>
          <w:color w:val="333333"/>
        </w:rPr>
        <w:t xml:space="preserve">A </w:t>
      </w:r>
      <w:r w:rsidRPr="00882C67">
        <w:rPr>
          <w:rFonts w:hint="eastAsia"/>
          <w:color w:val="333333"/>
        </w:rPr>
        <w:t>公司接受了这一建议，将设计任务交给了该县水利局干部李某，当水电站工程进行到中途时，有关部门发现李某不具备“注册结构工程师”资质，对</w:t>
      </w:r>
      <w:proofErr w:type="spellStart"/>
      <w:r w:rsidRPr="00882C67">
        <w:rPr>
          <w:rFonts w:cs="ArialMT"/>
          <w:color w:val="333333"/>
        </w:rPr>
        <w:t>A</w:t>
      </w:r>
      <w:proofErr w:type="spellEnd"/>
      <w:r w:rsidRPr="00882C67">
        <w:rPr>
          <w:rFonts w:cs="ArialMT"/>
          <w:color w:val="333333"/>
        </w:rPr>
        <w:t xml:space="preserve"> </w:t>
      </w:r>
      <w:r w:rsidRPr="00882C67">
        <w:rPr>
          <w:rFonts w:hint="eastAsia"/>
          <w:color w:val="333333"/>
        </w:rPr>
        <w:t>公司处以罚款。</w:t>
      </w:r>
      <w:r w:rsidRPr="00882C67">
        <w:rPr>
          <w:rFonts w:cs="ArialMT"/>
          <w:color w:val="333333"/>
        </w:rPr>
        <w:t xml:space="preserve">A </w:t>
      </w:r>
      <w:r w:rsidRPr="00882C67">
        <w:rPr>
          <w:rFonts w:hint="eastAsia"/>
          <w:color w:val="333333"/>
        </w:rPr>
        <w:t>公司不得不让市水利勘测设计院重新设计，但具体工程仍按李某设计的图纸进行。施工任务也交给了某负责人指定的一家建筑公司，但该建筑公司从未从事过水利工程。</w:t>
      </w:r>
      <w:r w:rsidRPr="00882C67">
        <w:rPr>
          <w:rFonts w:cs="ArialMT"/>
          <w:color w:val="333333"/>
        </w:rPr>
        <w:t>2007</w:t>
      </w:r>
      <w:r w:rsidRPr="00882C67">
        <w:rPr>
          <w:rFonts w:hint="eastAsia"/>
          <w:color w:val="333333"/>
        </w:rPr>
        <w:t>年，水电站工程被施工方宣布“竣工”，</w:t>
      </w:r>
      <w:r w:rsidRPr="00882C67">
        <w:rPr>
          <w:rFonts w:cs="ArialMT"/>
          <w:color w:val="333333"/>
        </w:rPr>
        <w:t xml:space="preserve">A </w:t>
      </w:r>
      <w:r w:rsidRPr="00882C67">
        <w:rPr>
          <w:rFonts w:hint="eastAsia"/>
          <w:color w:val="333333"/>
        </w:rPr>
        <w:t>公司共投入了</w:t>
      </w:r>
      <w:r w:rsidRPr="00882C67">
        <w:rPr>
          <w:rFonts w:cs="ArialMT"/>
          <w:color w:val="333333"/>
        </w:rPr>
        <w:t>1 000</w:t>
      </w:r>
      <w:r w:rsidRPr="00882C67">
        <w:rPr>
          <w:rFonts w:hint="eastAsia"/>
          <w:color w:val="333333"/>
        </w:rPr>
        <w:t>万元。由于存在诸多质量问题，水电站建成后无法正常使用。经当地质监部门鉴定：工程设计存在重大问题，施工未严格依据合</w:t>
      </w:r>
      <w:proofErr w:type="gramStart"/>
      <w:r w:rsidRPr="00882C67">
        <w:rPr>
          <w:rFonts w:hint="eastAsia"/>
          <w:color w:val="333333"/>
        </w:rPr>
        <w:t>规</w:t>
      </w:r>
      <w:proofErr w:type="gramEnd"/>
      <w:r w:rsidRPr="00882C67">
        <w:rPr>
          <w:rFonts w:hint="eastAsia"/>
          <w:color w:val="333333"/>
        </w:rPr>
        <w:t>的设计图纸，使用的工程材料不符合水电站建设要求；一旦大坝遇到一定程度的水量，将会因为耐力强度不够而被冲垮。更为严重的是，该水电站存在的严重质量问题，直接威胁到下游村庄村民的人身财产安全。</w:t>
      </w:r>
      <w:r w:rsidRPr="00882C67">
        <w:rPr>
          <w:rFonts w:cs="ArialMT"/>
          <w:color w:val="333333"/>
        </w:rPr>
        <w:t>2008</w:t>
      </w:r>
      <w:r w:rsidRPr="00882C67">
        <w:rPr>
          <w:rFonts w:hint="eastAsia"/>
          <w:color w:val="333333"/>
        </w:rPr>
        <w:t>年，该水电站被炸毁。</w:t>
      </w:r>
    </w:p>
    <w:p w14:paraId="3F788C34" w14:textId="63468ED1"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rFonts w:cs="ArialMT"/>
          <w:color w:val="333333"/>
        </w:rPr>
      </w:pPr>
      <w:r w:rsidRPr="00882C67">
        <w:rPr>
          <w:rFonts w:hint="eastAsia"/>
          <w:color w:val="333333"/>
        </w:rPr>
        <w:t>要求：运用工程项目业务活动控制的有关知识，结合本案例指出</w:t>
      </w:r>
      <w:r w:rsidRPr="00882C67">
        <w:rPr>
          <w:rFonts w:cs="ArialMT"/>
          <w:color w:val="333333"/>
        </w:rPr>
        <w:t xml:space="preserve">A </w:t>
      </w:r>
      <w:r w:rsidRPr="00882C67">
        <w:rPr>
          <w:rFonts w:hint="eastAsia"/>
          <w:color w:val="333333"/>
        </w:rPr>
        <w:t>公司违</w:t>
      </w:r>
      <w:r w:rsidRPr="00882C67">
        <w:rPr>
          <w:rFonts w:hint="eastAsia"/>
          <w:color w:val="333333"/>
        </w:rPr>
        <w:lastRenderedPageBreak/>
        <w:t>背了哪些风险点</w:t>
      </w:r>
      <w:r w:rsidRPr="00882C67">
        <w:rPr>
          <w:rFonts w:cs="ArialMT"/>
          <w:color w:val="333333"/>
        </w:rPr>
        <w:t>?</w:t>
      </w:r>
    </w:p>
    <w:p w14:paraId="07570566" w14:textId="77777777" w:rsidR="00C923F5" w:rsidRPr="00882C67" w:rsidRDefault="00C923F5"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参考答案：</w:t>
      </w:r>
    </w:p>
    <w:p w14:paraId="3076DB8B" w14:textId="77777777" w:rsidR="00C923F5" w:rsidRPr="00882C67" w:rsidRDefault="00C923F5" w:rsidP="00882C67">
      <w:pPr>
        <w:pStyle w:val="a3"/>
        <w:widowControl w:val="0"/>
        <w:adjustRightInd w:val="0"/>
        <w:snapToGrid w:val="0"/>
        <w:spacing w:before="0" w:beforeAutospacing="0" w:after="0" w:afterAutospacing="0" w:line="360" w:lineRule="auto"/>
        <w:ind w:firstLineChars="200" w:firstLine="480"/>
        <w:jc w:val="both"/>
        <w:rPr>
          <w:rFonts w:cs="ArialMT"/>
          <w:color w:val="333333"/>
        </w:rPr>
      </w:pPr>
      <w:r w:rsidRPr="00882C67">
        <w:rPr>
          <w:rFonts w:hint="eastAsia"/>
          <w:color w:val="333333"/>
        </w:rPr>
        <w:t>工程项目业务活动的关键风险点主要包括：工程立项、工程设计和造价、工程招标、工程建设、工程验收、项目后评估。本案例在工程设计、工程建设和竣工验收阶段都存在明显的控制缺陷。工程设计阶段的错误和内部控制缺失往往在施工阶段得到反映。首先，设计阶段方面，在选聘设计单位上存在明显缺陷，该设计任务既未通过招标形式，图纸设计者也不具备设计水电站工程的资质。发现原设计者不具备相应资质后，</w:t>
      </w:r>
      <w:r w:rsidRPr="00882C67">
        <w:rPr>
          <w:color w:val="333333"/>
        </w:rPr>
        <w:t>A 公司如果及时做出补救措施，暂停施工，按照新的设</w:t>
      </w:r>
      <w:r w:rsidRPr="00882C67">
        <w:rPr>
          <w:rFonts w:hint="eastAsia"/>
          <w:color w:val="333333"/>
        </w:rPr>
        <w:t>计图纸进行施工，也不会造成之后的重大损失。</w:t>
      </w:r>
      <w:r w:rsidRPr="00882C67">
        <w:rPr>
          <w:color w:val="333333"/>
        </w:rPr>
        <w:t>A 公司在设计审查方面也存在明显缺陷，未</w:t>
      </w:r>
      <w:r w:rsidRPr="00882C67">
        <w:rPr>
          <w:rFonts w:hint="eastAsia"/>
          <w:color w:val="333333"/>
        </w:rPr>
        <w:t>建立初步设计审查和批准制度，对李某提供的设计方案未进行复核和审查，这一控制措施的缺失，导致李某的设计错误直接被放行。其次，在工程建设阶段，选聘施工单位时存在明显控制缺失，既未采用招标形式，也未全面考虑施工单位的资质、信誉、业务能力和经验。</w:t>
      </w:r>
      <w:r w:rsidRPr="00882C67">
        <w:rPr>
          <w:color w:val="333333"/>
        </w:rPr>
        <w:t>A 公司对施工单位的监督方面也存在明</w:t>
      </w:r>
      <w:r w:rsidRPr="00882C67">
        <w:rPr>
          <w:rFonts w:hint="eastAsia"/>
          <w:color w:val="333333"/>
        </w:rPr>
        <w:t>显缺失，表现在</w:t>
      </w:r>
      <w:r w:rsidRPr="00882C67">
        <w:rPr>
          <w:color w:val="333333"/>
        </w:rPr>
        <w:t>A 公司未委托监理单位对施工过程进行监督，也没有采取必要措施对施工</w:t>
      </w:r>
      <w:r w:rsidRPr="00882C67">
        <w:rPr>
          <w:rFonts w:hint="eastAsia"/>
          <w:color w:val="333333"/>
        </w:rPr>
        <w:t>单位购买的工程物资进行监督，多方面因素导致工程质量低下。最后，在竣工验收阶段，竣工验收流于形式，把关不严。以上种种内部控制措施的缺失，导致水电站工程无法投产使用，最终只能被炸毁，给公司带来巨大经济损失。</w:t>
      </w:r>
    </w:p>
    <w:p w14:paraId="0325079B" w14:textId="568E3AA3" w:rsidR="00F01F10" w:rsidRPr="00F01F10" w:rsidRDefault="00AB01A9" w:rsidP="00F01F10">
      <w:pPr>
        <w:pStyle w:val="3"/>
        <w:rPr>
          <w:rFonts w:ascii="黑体" w:eastAsia="黑体" w:hAnsi="黑体"/>
          <w:b w:val="0"/>
          <w:bCs w:val="0"/>
          <w:sz w:val="24"/>
          <w:szCs w:val="24"/>
        </w:rPr>
      </w:pPr>
      <w:bookmarkStart w:id="11" w:name="_Toc112172050"/>
      <w:r w:rsidRPr="00F01F10">
        <w:rPr>
          <w:rFonts w:ascii="黑体" w:eastAsia="黑体" w:hAnsi="黑体" w:hint="eastAsia"/>
          <w:b w:val="0"/>
          <w:bCs w:val="0"/>
          <w:sz w:val="24"/>
          <w:szCs w:val="24"/>
        </w:rPr>
        <w:t>案例</w:t>
      </w:r>
      <w:r w:rsidR="00F37237">
        <w:rPr>
          <w:rFonts w:ascii="黑体" w:eastAsia="黑体" w:hAnsi="黑体"/>
          <w:b w:val="0"/>
          <w:bCs w:val="0"/>
          <w:sz w:val="24"/>
          <w:szCs w:val="24"/>
        </w:rPr>
        <w:t>11</w:t>
      </w:r>
      <w:r w:rsidR="00F01F10" w:rsidRPr="00F01F10">
        <w:rPr>
          <w:rFonts w:ascii="黑体" w:eastAsia="黑体" w:hAnsi="黑体" w:hint="eastAsia"/>
          <w:b w:val="0"/>
          <w:bCs w:val="0"/>
          <w:sz w:val="24"/>
          <w:szCs w:val="24"/>
        </w:rPr>
        <w:t>：</w:t>
      </w:r>
      <w:r w:rsidR="00F01F10" w:rsidRPr="00F01F10">
        <w:rPr>
          <w:rFonts w:ascii="黑体" w:eastAsia="黑体" w:hAnsi="黑体"/>
          <w:b w:val="0"/>
          <w:bCs w:val="0"/>
          <w:sz w:val="24"/>
          <w:szCs w:val="24"/>
        </w:rPr>
        <w:t>SD</w:t>
      </w:r>
      <w:r w:rsidR="00F01F10" w:rsidRPr="00F01F10">
        <w:rPr>
          <w:rFonts w:ascii="黑体" w:eastAsia="黑体" w:hAnsi="黑体" w:hint="eastAsia"/>
          <w:b w:val="0"/>
          <w:bCs w:val="0"/>
          <w:sz w:val="24"/>
          <w:szCs w:val="24"/>
        </w:rPr>
        <w:t>再生资源有限公司</w:t>
      </w:r>
      <w:bookmarkEnd w:id="11"/>
    </w:p>
    <w:p w14:paraId="39C768EF" w14:textId="64D2B98B"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cs="ArialMT"/>
          <w:color w:val="333333"/>
        </w:rPr>
        <w:t>2000</w:t>
      </w:r>
      <w:r w:rsidRPr="00882C67">
        <w:rPr>
          <w:rFonts w:hint="eastAsia"/>
          <w:color w:val="333333"/>
        </w:rPr>
        <w:t>年，</w:t>
      </w:r>
      <w:r w:rsidRPr="00882C67">
        <w:rPr>
          <w:rFonts w:cs="ArialMT"/>
          <w:color w:val="333333"/>
        </w:rPr>
        <w:t xml:space="preserve">A </w:t>
      </w:r>
      <w:r w:rsidRPr="00882C67">
        <w:rPr>
          <w:rFonts w:hint="eastAsia"/>
          <w:color w:val="333333"/>
        </w:rPr>
        <w:t>集团公司下属北京子公司和其他三家股东合资设立</w:t>
      </w:r>
      <w:r w:rsidRPr="00882C67">
        <w:rPr>
          <w:rFonts w:cs="ArialMT"/>
          <w:color w:val="333333"/>
        </w:rPr>
        <w:t xml:space="preserve">SD </w:t>
      </w:r>
      <w:r w:rsidRPr="00882C67">
        <w:rPr>
          <w:rFonts w:hint="eastAsia"/>
          <w:color w:val="333333"/>
        </w:rPr>
        <w:t>再生资源有限公司（以下简称“</w:t>
      </w:r>
      <w:r w:rsidRPr="00882C67">
        <w:rPr>
          <w:rFonts w:cs="ArialMT"/>
          <w:color w:val="333333"/>
        </w:rPr>
        <w:t xml:space="preserve">SD </w:t>
      </w:r>
      <w:r w:rsidRPr="00882C67">
        <w:rPr>
          <w:rFonts w:hint="eastAsia"/>
          <w:color w:val="333333"/>
        </w:rPr>
        <w:t>公司”），持股比例为</w:t>
      </w:r>
      <w:r w:rsidRPr="00882C67">
        <w:rPr>
          <w:rFonts w:cs="ArialMT"/>
          <w:color w:val="333333"/>
        </w:rPr>
        <w:t>10</w:t>
      </w:r>
      <w:r w:rsidRPr="00882C67">
        <w:rPr>
          <w:rFonts w:hint="eastAsia"/>
          <w:color w:val="333333"/>
        </w:rPr>
        <w:t>％左右。</w:t>
      </w:r>
      <w:r w:rsidRPr="00882C67">
        <w:rPr>
          <w:rFonts w:cs="ArialMT"/>
          <w:color w:val="333333"/>
        </w:rPr>
        <w:t>2002</w:t>
      </w:r>
      <w:r w:rsidRPr="00882C67">
        <w:rPr>
          <w:rFonts w:hint="eastAsia"/>
          <w:color w:val="333333"/>
        </w:rPr>
        <w:t>年，</w:t>
      </w:r>
      <w:r w:rsidRPr="00882C67">
        <w:rPr>
          <w:rFonts w:cs="ArialMT"/>
          <w:color w:val="333333"/>
        </w:rPr>
        <w:t xml:space="preserve">SD </w:t>
      </w:r>
      <w:r w:rsidRPr="00882C67">
        <w:rPr>
          <w:rFonts w:hint="eastAsia"/>
          <w:color w:val="333333"/>
        </w:rPr>
        <w:t>公司分别向中国银行某市分行（以下简称“某市中行”）和中国建设银行某市分行（以下简称“某市建行”）各借款</w:t>
      </w:r>
      <w:r w:rsidRPr="00882C67">
        <w:rPr>
          <w:rFonts w:cs="ArialMT"/>
          <w:color w:val="333333"/>
        </w:rPr>
        <w:t>100</w:t>
      </w:r>
      <w:r w:rsidRPr="00882C67">
        <w:rPr>
          <w:rFonts w:hint="eastAsia"/>
          <w:color w:val="333333"/>
        </w:rPr>
        <w:t>万美元，合计</w:t>
      </w:r>
      <w:r w:rsidRPr="00882C67">
        <w:rPr>
          <w:rFonts w:cs="ArialMT"/>
          <w:color w:val="333333"/>
        </w:rPr>
        <w:t>200</w:t>
      </w:r>
      <w:r w:rsidRPr="00882C67">
        <w:rPr>
          <w:rFonts w:hint="eastAsia"/>
          <w:color w:val="333333"/>
        </w:rPr>
        <w:t>万美元。</w:t>
      </w:r>
      <w:r w:rsidRPr="00882C67">
        <w:rPr>
          <w:rFonts w:cs="ArialMT"/>
          <w:color w:val="333333"/>
        </w:rPr>
        <w:t xml:space="preserve">A </w:t>
      </w:r>
      <w:r w:rsidRPr="00882C67">
        <w:rPr>
          <w:rFonts w:hint="eastAsia"/>
          <w:color w:val="333333"/>
        </w:rPr>
        <w:t>集团公司总经理在担保合同上签字，为</w:t>
      </w:r>
      <w:r w:rsidRPr="00882C67">
        <w:rPr>
          <w:rFonts w:cs="ArialMT"/>
          <w:color w:val="333333"/>
        </w:rPr>
        <w:t xml:space="preserve">SD </w:t>
      </w:r>
      <w:r w:rsidRPr="00882C67">
        <w:rPr>
          <w:rFonts w:hint="eastAsia"/>
          <w:color w:val="333333"/>
        </w:rPr>
        <w:t>公司中行借款</w:t>
      </w:r>
      <w:r w:rsidRPr="00882C67">
        <w:rPr>
          <w:rFonts w:cs="ArialMT"/>
          <w:color w:val="333333"/>
        </w:rPr>
        <w:t>100</w:t>
      </w:r>
      <w:r w:rsidRPr="00882C67">
        <w:rPr>
          <w:rFonts w:hint="eastAsia"/>
          <w:color w:val="333333"/>
        </w:rPr>
        <w:t>万美元及建行借款</w:t>
      </w:r>
      <w:r w:rsidRPr="00882C67">
        <w:rPr>
          <w:rFonts w:cs="ArialMT"/>
          <w:color w:val="333333"/>
        </w:rPr>
        <w:t>50</w:t>
      </w:r>
      <w:r w:rsidRPr="00882C67">
        <w:rPr>
          <w:rFonts w:hint="eastAsia"/>
          <w:color w:val="333333"/>
        </w:rPr>
        <w:t>万美元提供了负连带责任的全额担保。</w:t>
      </w:r>
      <w:r w:rsidRPr="00882C67">
        <w:rPr>
          <w:rFonts w:cs="ArialMT"/>
          <w:color w:val="333333"/>
        </w:rPr>
        <w:t>2003</w:t>
      </w:r>
      <w:r w:rsidRPr="00882C67">
        <w:rPr>
          <w:rFonts w:hint="eastAsia"/>
          <w:color w:val="333333"/>
        </w:rPr>
        <w:t>年</w:t>
      </w:r>
      <w:r w:rsidRPr="00882C67">
        <w:rPr>
          <w:rFonts w:cs="ArialMT"/>
          <w:color w:val="333333"/>
        </w:rPr>
        <w:t>5</w:t>
      </w:r>
      <w:r w:rsidRPr="00882C67">
        <w:rPr>
          <w:rFonts w:hint="eastAsia"/>
          <w:color w:val="333333"/>
        </w:rPr>
        <w:t>月，又继续为</w:t>
      </w:r>
      <w:r w:rsidRPr="00882C67">
        <w:rPr>
          <w:rFonts w:cs="ArialMT"/>
          <w:color w:val="333333"/>
        </w:rPr>
        <w:t>SD</w:t>
      </w:r>
      <w:r w:rsidRPr="00882C67">
        <w:rPr>
          <w:rFonts w:hint="eastAsia"/>
          <w:color w:val="333333"/>
        </w:rPr>
        <w:t>公司延期贷款提供担保。</w:t>
      </w:r>
      <w:r w:rsidRPr="00882C67">
        <w:rPr>
          <w:rFonts w:cs="ArialMT"/>
          <w:color w:val="333333"/>
        </w:rPr>
        <w:t>2008</w:t>
      </w:r>
      <w:r w:rsidRPr="00882C67">
        <w:rPr>
          <w:rFonts w:hint="eastAsia"/>
          <w:color w:val="333333"/>
        </w:rPr>
        <w:t>年</w:t>
      </w:r>
      <w:r w:rsidRPr="00882C67">
        <w:rPr>
          <w:rFonts w:cs="ArialMT"/>
          <w:color w:val="333333"/>
        </w:rPr>
        <w:t>3</w:t>
      </w:r>
      <w:r w:rsidRPr="00882C67">
        <w:rPr>
          <w:rFonts w:hint="eastAsia"/>
          <w:color w:val="333333"/>
        </w:rPr>
        <w:t>月，因</w:t>
      </w:r>
      <w:r w:rsidRPr="00882C67">
        <w:rPr>
          <w:rFonts w:cs="ArialMT"/>
          <w:color w:val="333333"/>
        </w:rPr>
        <w:t xml:space="preserve">SD </w:t>
      </w:r>
      <w:r w:rsidRPr="00882C67">
        <w:rPr>
          <w:rFonts w:hint="eastAsia"/>
          <w:color w:val="333333"/>
        </w:rPr>
        <w:t>公司不能按时归还</w:t>
      </w:r>
      <w:r w:rsidRPr="00882C67">
        <w:rPr>
          <w:rFonts w:cs="ArialMT"/>
          <w:color w:val="333333"/>
        </w:rPr>
        <w:t>100</w:t>
      </w:r>
      <w:r w:rsidRPr="00882C67">
        <w:rPr>
          <w:rFonts w:hint="eastAsia"/>
          <w:color w:val="333333"/>
        </w:rPr>
        <w:t>万美元借款本息，某市中行向法院提起诉讼。</w:t>
      </w:r>
      <w:r w:rsidRPr="00882C67">
        <w:rPr>
          <w:rFonts w:cs="ArialMT"/>
          <w:color w:val="333333"/>
        </w:rPr>
        <w:t>2008</w:t>
      </w:r>
      <w:r w:rsidRPr="00882C67">
        <w:rPr>
          <w:rFonts w:hint="eastAsia"/>
          <w:color w:val="333333"/>
        </w:rPr>
        <w:t>年</w:t>
      </w:r>
      <w:r w:rsidRPr="00882C67">
        <w:rPr>
          <w:rFonts w:cs="ArialMT"/>
          <w:color w:val="333333"/>
        </w:rPr>
        <w:t>6</w:t>
      </w:r>
      <w:r w:rsidRPr="00882C67">
        <w:rPr>
          <w:rFonts w:hint="eastAsia"/>
          <w:color w:val="333333"/>
        </w:rPr>
        <w:t>月底，经该市第二中级人民法院一审判决，</w:t>
      </w:r>
      <w:r w:rsidRPr="00882C67">
        <w:rPr>
          <w:rFonts w:cs="ArialMT"/>
          <w:color w:val="333333"/>
        </w:rPr>
        <w:t xml:space="preserve">A </w:t>
      </w:r>
      <w:r w:rsidRPr="00882C67">
        <w:rPr>
          <w:rFonts w:hint="eastAsia"/>
          <w:color w:val="333333"/>
        </w:rPr>
        <w:t>集团公司负连带给付责任。</w:t>
      </w:r>
      <w:r w:rsidRPr="00882C67">
        <w:rPr>
          <w:rFonts w:cs="ArialMT"/>
          <w:color w:val="333333"/>
        </w:rPr>
        <w:t xml:space="preserve">A </w:t>
      </w:r>
      <w:r w:rsidRPr="00882C67">
        <w:rPr>
          <w:rFonts w:hint="eastAsia"/>
          <w:color w:val="333333"/>
        </w:rPr>
        <w:t>集团公司对判决不服，向该市高级人民法院提出上诉。</w:t>
      </w:r>
      <w:r w:rsidRPr="00882C67">
        <w:rPr>
          <w:rFonts w:cs="ArialMT"/>
          <w:color w:val="333333"/>
        </w:rPr>
        <w:t>2008</w:t>
      </w:r>
      <w:r w:rsidRPr="00882C67">
        <w:rPr>
          <w:rFonts w:hint="eastAsia"/>
          <w:color w:val="333333"/>
        </w:rPr>
        <w:lastRenderedPageBreak/>
        <w:t>年</w:t>
      </w:r>
      <w:r w:rsidRPr="00882C67">
        <w:rPr>
          <w:rFonts w:cs="ArialMT"/>
          <w:color w:val="333333"/>
        </w:rPr>
        <w:t>11</w:t>
      </w:r>
      <w:r w:rsidRPr="00882C67">
        <w:rPr>
          <w:rFonts w:hint="eastAsia"/>
          <w:color w:val="333333"/>
        </w:rPr>
        <w:t>月，该市高级人民法院判决“在强制执行原审被告</w:t>
      </w:r>
      <w:r w:rsidRPr="00882C67">
        <w:rPr>
          <w:rFonts w:cs="ArialMT"/>
          <w:color w:val="333333"/>
        </w:rPr>
        <w:t xml:space="preserve">SD </w:t>
      </w:r>
      <w:r w:rsidRPr="00882C67">
        <w:rPr>
          <w:rFonts w:hint="eastAsia"/>
          <w:color w:val="333333"/>
        </w:rPr>
        <w:t>公司财产后仍不足清偿的债务，由</w:t>
      </w:r>
      <w:r w:rsidRPr="00882C67">
        <w:rPr>
          <w:rFonts w:cs="ArialMT"/>
          <w:color w:val="333333"/>
        </w:rPr>
        <w:t xml:space="preserve">A </w:t>
      </w:r>
      <w:r w:rsidRPr="00882C67">
        <w:rPr>
          <w:rFonts w:hint="eastAsia"/>
          <w:color w:val="333333"/>
        </w:rPr>
        <w:t>集团公司承担赔偿责任。”</w:t>
      </w:r>
      <w:r w:rsidRPr="00882C67">
        <w:rPr>
          <w:rFonts w:cs="ArialMT"/>
          <w:color w:val="333333"/>
        </w:rPr>
        <w:t>2009</w:t>
      </w:r>
      <w:r w:rsidRPr="00882C67">
        <w:rPr>
          <w:rFonts w:hint="eastAsia"/>
          <w:color w:val="333333"/>
        </w:rPr>
        <w:t>年</w:t>
      </w:r>
      <w:r w:rsidRPr="00882C67">
        <w:rPr>
          <w:rFonts w:cs="ArialMT"/>
          <w:color w:val="333333"/>
        </w:rPr>
        <w:t>4</w:t>
      </w:r>
      <w:r w:rsidRPr="00882C67">
        <w:rPr>
          <w:rFonts w:hint="eastAsia"/>
          <w:color w:val="333333"/>
        </w:rPr>
        <w:t>月，该市第二中级人民法院就此案</w:t>
      </w:r>
      <w:proofErr w:type="gramStart"/>
      <w:r w:rsidRPr="00882C67">
        <w:rPr>
          <w:rFonts w:hint="eastAsia"/>
          <w:color w:val="333333"/>
        </w:rPr>
        <w:t>作出</w:t>
      </w:r>
      <w:proofErr w:type="gramEnd"/>
      <w:r w:rsidRPr="00882C67">
        <w:rPr>
          <w:rFonts w:hint="eastAsia"/>
          <w:color w:val="333333"/>
        </w:rPr>
        <w:t>执行裁定，并查封了</w:t>
      </w:r>
      <w:r w:rsidRPr="00882C67">
        <w:rPr>
          <w:rFonts w:cs="ArialMT"/>
          <w:color w:val="333333"/>
        </w:rPr>
        <w:t xml:space="preserve">A </w:t>
      </w:r>
      <w:r w:rsidRPr="00882C67">
        <w:rPr>
          <w:rFonts w:hint="eastAsia"/>
          <w:color w:val="333333"/>
        </w:rPr>
        <w:t>集团公司有关房产，</w:t>
      </w:r>
      <w:r w:rsidRPr="00882C67">
        <w:rPr>
          <w:rFonts w:cs="ArialMT"/>
          <w:color w:val="333333"/>
        </w:rPr>
        <w:t xml:space="preserve">A </w:t>
      </w:r>
      <w:r w:rsidRPr="00882C67">
        <w:rPr>
          <w:rFonts w:hint="eastAsia"/>
          <w:color w:val="333333"/>
        </w:rPr>
        <w:t>集团公司不得已为</w:t>
      </w:r>
      <w:r w:rsidRPr="00882C67">
        <w:rPr>
          <w:rFonts w:cs="ArialMT"/>
          <w:color w:val="333333"/>
        </w:rPr>
        <w:t xml:space="preserve">SD </w:t>
      </w:r>
      <w:r w:rsidRPr="00882C67">
        <w:rPr>
          <w:rFonts w:hint="eastAsia"/>
          <w:color w:val="333333"/>
        </w:rPr>
        <w:t>公司归还借款本息，支付现金</w:t>
      </w:r>
      <w:r w:rsidRPr="00882C67">
        <w:rPr>
          <w:rFonts w:cs="ArialMT"/>
          <w:color w:val="333333"/>
        </w:rPr>
        <w:t>13 206005.09</w:t>
      </w:r>
      <w:r w:rsidRPr="00882C67">
        <w:rPr>
          <w:rFonts w:hint="eastAsia"/>
          <w:color w:val="333333"/>
        </w:rPr>
        <w:t>元。另外，因</w:t>
      </w:r>
      <w:r w:rsidRPr="00882C67">
        <w:rPr>
          <w:rFonts w:cs="ArialMT"/>
          <w:color w:val="333333"/>
        </w:rPr>
        <w:t xml:space="preserve">SD </w:t>
      </w:r>
      <w:r w:rsidRPr="00882C67">
        <w:rPr>
          <w:rFonts w:hint="eastAsia"/>
          <w:color w:val="333333"/>
        </w:rPr>
        <w:t>公司不能按时归还</w:t>
      </w:r>
      <w:r w:rsidRPr="00882C67">
        <w:rPr>
          <w:rFonts w:cs="ArialMT"/>
          <w:color w:val="333333"/>
        </w:rPr>
        <w:t>50</w:t>
      </w:r>
      <w:r w:rsidRPr="00882C67">
        <w:rPr>
          <w:rFonts w:hint="eastAsia"/>
          <w:color w:val="333333"/>
        </w:rPr>
        <w:t>万美元借款本息，</w:t>
      </w:r>
      <w:r w:rsidRPr="00882C67">
        <w:rPr>
          <w:rFonts w:cs="ArialMT"/>
          <w:color w:val="333333"/>
        </w:rPr>
        <w:t>2006</w:t>
      </w:r>
      <w:r w:rsidRPr="00882C67">
        <w:rPr>
          <w:rFonts w:hint="eastAsia"/>
          <w:color w:val="333333"/>
        </w:rPr>
        <w:t>年</w:t>
      </w:r>
      <w:r w:rsidRPr="00882C67">
        <w:rPr>
          <w:rFonts w:cs="ArialMT"/>
          <w:color w:val="333333"/>
        </w:rPr>
        <w:t>10</w:t>
      </w:r>
      <w:r w:rsidRPr="00882C67">
        <w:rPr>
          <w:rFonts w:hint="eastAsia"/>
          <w:color w:val="333333"/>
        </w:rPr>
        <w:t>月，某市建行向法院提起诉讼，经该市高级人民法院复审，</w:t>
      </w:r>
      <w:r w:rsidRPr="00882C67">
        <w:rPr>
          <w:rFonts w:cs="ArialMT"/>
          <w:color w:val="333333"/>
        </w:rPr>
        <w:t>2007</w:t>
      </w:r>
      <w:r w:rsidRPr="00882C67">
        <w:rPr>
          <w:rFonts w:hint="eastAsia"/>
          <w:color w:val="333333"/>
        </w:rPr>
        <w:t>年</w:t>
      </w:r>
      <w:r w:rsidRPr="00882C67">
        <w:rPr>
          <w:rFonts w:cs="ArialMT"/>
          <w:color w:val="333333"/>
        </w:rPr>
        <w:t>10</w:t>
      </w:r>
      <w:r w:rsidRPr="00882C67">
        <w:rPr>
          <w:rFonts w:hint="eastAsia"/>
          <w:color w:val="333333"/>
        </w:rPr>
        <w:t>月，判令</w:t>
      </w:r>
      <w:r w:rsidRPr="00882C67">
        <w:rPr>
          <w:rFonts w:cs="ArialMT"/>
          <w:color w:val="333333"/>
        </w:rPr>
        <w:t xml:space="preserve">A </w:t>
      </w:r>
      <w:r w:rsidRPr="00882C67">
        <w:rPr>
          <w:rFonts w:hint="eastAsia"/>
          <w:color w:val="333333"/>
        </w:rPr>
        <w:t>集团公司为</w:t>
      </w:r>
      <w:r w:rsidRPr="00882C67">
        <w:rPr>
          <w:rFonts w:cs="ArialMT"/>
          <w:color w:val="333333"/>
        </w:rPr>
        <w:t xml:space="preserve">SD </w:t>
      </w:r>
      <w:r w:rsidRPr="00882C67">
        <w:rPr>
          <w:rFonts w:hint="eastAsia"/>
          <w:color w:val="333333"/>
        </w:rPr>
        <w:t>公司</w:t>
      </w:r>
      <w:r w:rsidRPr="00882C67">
        <w:rPr>
          <w:rFonts w:cs="ArialMT"/>
          <w:color w:val="333333"/>
        </w:rPr>
        <w:t>27</w:t>
      </w:r>
      <w:r w:rsidRPr="00882C67">
        <w:rPr>
          <w:rFonts w:hint="eastAsia"/>
          <w:color w:val="333333"/>
        </w:rPr>
        <w:t>万美元借款余额的本息承担连带给付负责。在</w:t>
      </w:r>
      <w:r w:rsidRPr="00882C67">
        <w:rPr>
          <w:rFonts w:cs="ArialMT"/>
          <w:color w:val="333333"/>
        </w:rPr>
        <w:t>2008</w:t>
      </w:r>
      <w:r w:rsidRPr="00882C67">
        <w:rPr>
          <w:rFonts w:hint="eastAsia"/>
          <w:color w:val="333333"/>
        </w:rPr>
        <w:t>年某市中行提起诉讼后，</w:t>
      </w:r>
      <w:r w:rsidRPr="00882C67">
        <w:rPr>
          <w:rFonts w:cs="ArialMT"/>
          <w:color w:val="333333"/>
        </w:rPr>
        <w:t xml:space="preserve">A </w:t>
      </w:r>
      <w:r w:rsidRPr="00882C67">
        <w:rPr>
          <w:rFonts w:hint="eastAsia"/>
          <w:color w:val="333333"/>
        </w:rPr>
        <w:t>集团公司多次派人了解</w:t>
      </w:r>
      <w:r w:rsidRPr="00882C67">
        <w:rPr>
          <w:rFonts w:cs="ArialMT"/>
          <w:color w:val="333333"/>
        </w:rPr>
        <w:t xml:space="preserve">SD </w:t>
      </w:r>
      <w:r w:rsidRPr="00882C67">
        <w:rPr>
          <w:rFonts w:hint="eastAsia"/>
          <w:color w:val="333333"/>
        </w:rPr>
        <w:t>公司资产和负债情况，并派人员审查北京子公司和</w:t>
      </w:r>
      <w:r w:rsidRPr="00882C67">
        <w:rPr>
          <w:rFonts w:cs="ArialMT"/>
          <w:color w:val="333333"/>
        </w:rPr>
        <w:t xml:space="preserve">SD </w:t>
      </w:r>
      <w:r w:rsidRPr="00882C67">
        <w:rPr>
          <w:rFonts w:hint="eastAsia"/>
          <w:color w:val="333333"/>
        </w:rPr>
        <w:t>公司账目。查账结果显示：首先，</w:t>
      </w:r>
      <w:r w:rsidRPr="00882C67">
        <w:rPr>
          <w:rFonts w:cs="ArialMT"/>
          <w:color w:val="333333"/>
        </w:rPr>
        <w:t xml:space="preserve">SD </w:t>
      </w:r>
      <w:r w:rsidRPr="00882C67">
        <w:rPr>
          <w:rFonts w:hint="eastAsia"/>
          <w:color w:val="333333"/>
        </w:rPr>
        <w:t>公司基本没有实物资产，只有大量的无据可查的预付和应收款项。其次，</w:t>
      </w:r>
      <w:r w:rsidRPr="00882C67">
        <w:rPr>
          <w:rFonts w:cs="ArialMT"/>
          <w:color w:val="333333"/>
        </w:rPr>
        <w:t xml:space="preserve">SD </w:t>
      </w:r>
      <w:r w:rsidRPr="00882C67">
        <w:rPr>
          <w:rFonts w:hint="eastAsia"/>
          <w:color w:val="333333"/>
        </w:rPr>
        <w:t>公司存在不良图谋。查账结果显示，</w:t>
      </w:r>
      <w:r w:rsidRPr="00882C67">
        <w:rPr>
          <w:rFonts w:cs="ArialMT"/>
          <w:color w:val="333333"/>
        </w:rPr>
        <w:t>SD</w:t>
      </w:r>
      <w:r w:rsidRPr="00882C67">
        <w:rPr>
          <w:rFonts w:hint="eastAsia"/>
          <w:color w:val="333333"/>
        </w:rPr>
        <w:t>公司取得借款后，没有用于正常业务经营和投资。自</w:t>
      </w:r>
      <w:r w:rsidRPr="00882C67">
        <w:rPr>
          <w:rFonts w:cs="ArialMT"/>
          <w:color w:val="333333"/>
        </w:rPr>
        <w:t xml:space="preserve">SD </w:t>
      </w:r>
      <w:r w:rsidRPr="00882C67">
        <w:rPr>
          <w:rFonts w:hint="eastAsia"/>
          <w:color w:val="333333"/>
        </w:rPr>
        <w:t>公司成立以来，有多位高级管理人员利用职权，自批自用、自批他用、利用借款等名目，大肆侵占、挪用</w:t>
      </w:r>
      <w:r w:rsidRPr="00882C67">
        <w:rPr>
          <w:rFonts w:cs="ArialMT"/>
          <w:color w:val="333333"/>
        </w:rPr>
        <w:t xml:space="preserve">SD </w:t>
      </w:r>
      <w:r w:rsidRPr="00882C67">
        <w:rPr>
          <w:rFonts w:hint="eastAsia"/>
          <w:color w:val="333333"/>
        </w:rPr>
        <w:t>公司资金，将公司资产转入个人账户，非法占为已有。</w:t>
      </w:r>
    </w:p>
    <w:p w14:paraId="00BD2BB1" w14:textId="6F11DCC0" w:rsidR="00AB01A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rFonts w:cs="ArialMT"/>
          <w:color w:val="333333"/>
        </w:rPr>
      </w:pPr>
      <w:r w:rsidRPr="00882C67">
        <w:rPr>
          <w:rFonts w:hint="eastAsia"/>
          <w:color w:val="333333"/>
        </w:rPr>
        <w:t>要求：运用担保业务活动控制的有关知识，指出这一案例违背了哪些关键风险点，应运用何种控制措施加以预防</w:t>
      </w:r>
      <w:r w:rsidRPr="00882C67">
        <w:rPr>
          <w:rFonts w:cs="ArialMT"/>
          <w:color w:val="333333"/>
        </w:rPr>
        <w:t>?</w:t>
      </w:r>
    </w:p>
    <w:p w14:paraId="30A12258" w14:textId="77777777" w:rsidR="00C923F5" w:rsidRPr="00882C67" w:rsidRDefault="00C923F5"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参考答案：</w:t>
      </w:r>
    </w:p>
    <w:p w14:paraId="30AF5067" w14:textId="77777777" w:rsidR="00C923F5" w:rsidRPr="00882C67" w:rsidRDefault="00C923F5"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担保业务的关键风险点主要包括：受理申请、调查评估、审批、签订担保合同、日常管理、会计系统控制、反担保财产管理、责任追究、及时终止担保关系或代为清偿、权利追索。该案例主要违背的关键风险点是：</w:t>
      </w:r>
    </w:p>
    <w:p w14:paraId="50AC4F5E" w14:textId="77777777" w:rsidR="00C923F5" w:rsidRPr="00882C67" w:rsidRDefault="00C923F5"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1）调查评估，该环节的主要风险包括：资信调查和风险评估不深入、不细致，造成</w:t>
      </w:r>
      <w:r w:rsidRPr="00882C67">
        <w:rPr>
          <w:rFonts w:hint="eastAsia"/>
          <w:color w:val="333333"/>
        </w:rPr>
        <w:t>担保决策失误，给企业带来担保损失。</w:t>
      </w:r>
      <w:r w:rsidRPr="00882C67">
        <w:rPr>
          <w:color w:val="333333"/>
        </w:rPr>
        <w:t>A 集团在受到起诉后才着手调查，说明它之前并没有</w:t>
      </w:r>
      <w:r w:rsidRPr="00882C67">
        <w:rPr>
          <w:rFonts w:hint="eastAsia"/>
          <w:color w:val="333333"/>
        </w:rPr>
        <w:t>对所要担保对象作深入的资信调查等。主要控制措施：第一，企业在对担保申请人进行资信调查和风险评估时，应当重点关注以下事项：①担保业务是否符合国家法律法规和本企业担保政策等相关要求；②担保申请人的资信状况，一般包括基本情况、资产质量、经营情况、偿债能力、盈利水平、信用程度、行业前景等；③担保申请人用于担保和第三方担保的资产状况及其权利归属；④企业要求担保申请人提供反担保的，还应当对与反担保有关的资产状况进行评估。第二，明确不予担保的情况。对于以下几种情形不予担保：①担保项目不符合国家法律法规和本企业担保政策的；②已进入重组、托管、兼并或破产清算程序的；③财务状况恶化、资不抵债、管理混乱、经营风险较大的；④与</w:t>
      </w:r>
      <w:r w:rsidRPr="00882C67">
        <w:rPr>
          <w:rFonts w:hint="eastAsia"/>
          <w:color w:val="333333"/>
        </w:rPr>
        <w:lastRenderedPageBreak/>
        <w:t>其他企业存在较大经济纠纷，面临法律诉讼且可能承担较大赔偿责任的；⑤与本企业已经发生过担保纠纷且仍未妥善解决的，或不能及时足额交纳担保费用的。第三，调查评估结果应出具书面报告。企业也可委托中介机构对担保业务进行资信调查和风险评估工作。</w:t>
      </w:r>
    </w:p>
    <w:p w14:paraId="7D6D9BB7" w14:textId="77777777" w:rsidR="00C923F5" w:rsidRPr="00882C67" w:rsidRDefault="00C923F5"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w:t>
      </w:r>
      <w:r w:rsidRPr="00882C67">
        <w:rPr>
          <w:color w:val="333333"/>
        </w:rPr>
        <w:t>2）及时终止担保关系，该环节的主要风险包括：未及时终止担保关系，使担保展期</w:t>
      </w:r>
      <w:r w:rsidRPr="00882C67">
        <w:rPr>
          <w:rFonts w:hint="eastAsia"/>
          <w:color w:val="333333"/>
        </w:rPr>
        <w:t>等。</w:t>
      </w:r>
      <w:r w:rsidRPr="00882C67">
        <w:rPr>
          <w:color w:val="333333"/>
        </w:rPr>
        <w:t>A 集团在发现问题后，仍未终止其对SD 公司的担保业务，为其之后的重大损失埋下了</w:t>
      </w:r>
      <w:r w:rsidRPr="00882C67">
        <w:rPr>
          <w:rFonts w:hint="eastAsia"/>
          <w:color w:val="333333"/>
        </w:rPr>
        <w:t>伏笔。控制措施：企业应当在担保合同到期时，全面清查用于担保的财产、权利凭证，按照合同约定及时终止担保关系。</w:t>
      </w:r>
    </w:p>
    <w:p w14:paraId="0194CDC8" w14:textId="4C185A7E" w:rsidR="00F01F10" w:rsidRPr="00F01F10" w:rsidRDefault="00AB01A9" w:rsidP="00F01F10">
      <w:pPr>
        <w:pStyle w:val="3"/>
        <w:rPr>
          <w:rFonts w:ascii="黑体" w:eastAsia="黑体" w:hAnsi="黑体"/>
          <w:sz w:val="24"/>
          <w:szCs w:val="24"/>
        </w:rPr>
      </w:pPr>
      <w:bookmarkStart w:id="12" w:name="_Toc112172051"/>
      <w:r w:rsidRPr="00F01F10">
        <w:rPr>
          <w:rFonts w:ascii="黑体" w:eastAsia="黑体" w:hAnsi="黑体" w:hint="eastAsia"/>
          <w:sz w:val="24"/>
          <w:szCs w:val="24"/>
        </w:rPr>
        <w:t>案例</w:t>
      </w:r>
      <w:r w:rsidR="00F37237">
        <w:rPr>
          <w:rFonts w:ascii="黑体" w:eastAsia="黑体" w:hAnsi="黑体"/>
          <w:sz w:val="24"/>
          <w:szCs w:val="24"/>
        </w:rPr>
        <w:t>12</w:t>
      </w:r>
      <w:r w:rsidRPr="00F01F10">
        <w:rPr>
          <w:rFonts w:ascii="黑体" w:eastAsia="黑体" w:hAnsi="黑体" w:hint="eastAsia"/>
          <w:sz w:val="24"/>
          <w:szCs w:val="24"/>
        </w:rPr>
        <w:t>：</w:t>
      </w:r>
      <w:r w:rsidR="00F01F10" w:rsidRPr="00F01F10">
        <w:rPr>
          <w:rFonts w:ascii="黑体" w:eastAsia="黑体" w:hAnsi="黑体" w:hint="eastAsia"/>
          <w:sz w:val="24"/>
          <w:szCs w:val="24"/>
        </w:rPr>
        <w:t>网页设计的外包项目</w:t>
      </w:r>
      <w:bookmarkEnd w:id="12"/>
    </w:p>
    <w:p w14:paraId="212E7A9A" w14:textId="0A97EE12" w:rsidR="009B074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甲公司和乙公司同时实施了一个公司网页设计的外包项目，目标是为本公司的在线系统设计一个首页和整体页面框架。在签订合同时，甲、乙公司在合同上详细地列示了项目的交付内容，提出了清晰的需求，以避免后期双方对此发生争议。</w:t>
      </w:r>
      <w:r w:rsidRPr="00882C67">
        <w:rPr>
          <w:rFonts w:cs="ArialMT"/>
          <w:color w:val="333333"/>
        </w:rPr>
        <w:t xml:space="preserve">A </w:t>
      </w:r>
      <w:r w:rsidRPr="00882C67">
        <w:rPr>
          <w:rFonts w:hint="eastAsia"/>
          <w:color w:val="333333"/>
        </w:rPr>
        <w:t>网站设计公司（以下简称</w:t>
      </w:r>
      <w:r w:rsidRPr="00882C67">
        <w:rPr>
          <w:rFonts w:cs="ArialMT"/>
          <w:color w:val="333333"/>
        </w:rPr>
        <w:t xml:space="preserve">A </w:t>
      </w:r>
      <w:r w:rsidRPr="00882C67">
        <w:rPr>
          <w:rFonts w:hint="eastAsia"/>
          <w:color w:val="333333"/>
        </w:rPr>
        <w:t>公司）分别与甲公司和乙公司签订了网页设计外包合同，安排人员进行页面设计，并计划在一周内提交初稿。但在设计过程中却出现了问题，首先是</w:t>
      </w:r>
      <w:r w:rsidRPr="00882C67">
        <w:rPr>
          <w:rFonts w:cs="ArialMT"/>
          <w:color w:val="333333"/>
        </w:rPr>
        <w:t xml:space="preserve">A </w:t>
      </w:r>
      <w:r w:rsidRPr="00882C67">
        <w:rPr>
          <w:rFonts w:hint="eastAsia"/>
          <w:color w:val="333333"/>
        </w:rPr>
        <w:t>公司临时更换了技术人员，这样在前期阶段确定的相关细节又要重新沟通，而且人员技术水平也不符合要求。此外，甲、乙公司发现，</w:t>
      </w:r>
      <w:r w:rsidRPr="00882C67">
        <w:rPr>
          <w:rFonts w:cs="ArialMT"/>
          <w:color w:val="333333"/>
        </w:rPr>
        <w:t xml:space="preserve">A </w:t>
      </w:r>
      <w:r w:rsidRPr="00882C67">
        <w:rPr>
          <w:rFonts w:hint="eastAsia"/>
          <w:color w:val="333333"/>
        </w:rPr>
        <w:t>公司该项目的组织结构也不合理，公司的两个合股人分别负责技术部和业务部两个部门，这两个部门相互独立、相互牵制。</w:t>
      </w:r>
      <w:r w:rsidRPr="00882C67">
        <w:rPr>
          <w:rFonts w:cs="ArialMT"/>
          <w:color w:val="333333"/>
        </w:rPr>
        <w:t xml:space="preserve">A </w:t>
      </w:r>
      <w:r w:rsidRPr="00882C67">
        <w:rPr>
          <w:rFonts w:hint="eastAsia"/>
          <w:color w:val="333333"/>
        </w:rPr>
        <w:t>公司没有专门的项目经理负责这个项目，只是由业务人员负责协调。这样的项目组织结构造成项目的执行和沟通很困难。因此，甲、乙公司的项目都不得不暂停，陷入僵局。面对上述情况，甲、乙公司</w:t>
      </w:r>
      <w:proofErr w:type="gramStart"/>
      <w:r w:rsidRPr="00882C67">
        <w:rPr>
          <w:rFonts w:hint="eastAsia"/>
          <w:color w:val="333333"/>
        </w:rPr>
        <w:t>作出</w:t>
      </w:r>
      <w:proofErr w:type="gramEnd"/>
      <w:r w:rsidRPr="00882C67">
        <w:rPr>
          <w:rFonts w:hint="eastAsia"/>
          <w:color w:val="333333"/>
        </w:rPr>
        <w:t>了不同的反应：</w:t>
      </w:r>
    </w:p>
    <w:p w14:paraId="3A0EF71F" w14:textId="77777777" w:rsidR="009B074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甲公司及时制定了相应的沟通策略。当出现问题的时候，甲公司外包业务归口管理部门负责人直接与</w:t>
      </w:r>
      <w:r w:rsidRPr="00882C67">
        <w:rPr>
          <w:rFonts w:cs="ArialMT"/>
          <w:color w:val="333333"/>
        </w:rPr>
        <w:t xml:space="preserve">A </w:t>
      </w:r>
      <w:r w:rsidRPr="00882C67">
        <w:rPr>
          <w:rFonts w:hint="eastAsia"/>
          <w:color w:val="333333"/>
        </w:rPr>
        <w:t>公司的两个部门经理召开联席会议，协调共同解决问题，并对承包方工作人员进行必要的关于行业特点和经营需求方面的指导和培训，从而使其充分了解甲公司的外包目标。最后，经过双方一段时间的努力，</w:t>
      </w:r>
      <w:r w:rsidRPr="00882C67">
        <w:rPr>
          <w:rFonts w:cs="ArialMT"/>
          <w:color w:val="333333"/>
        </w:rPr>
        <w:t xml:space="preserve">A </w:t>
      </w:r>
      <w:r w:rsidRPr="00882C67">
        <w:rPr>
          <w:rFonts w:hint="eastAsia"/>
          <w:color w:val="333333"/>
        </w:rPr>
        <w:t>公司提交了合同上所有的交付内容，项目按期收尾。</w:t>
      </w:r>
    </w:p>
    <w:p w14:paraId="19152434" w14:textId="77777777" w:rsidR="009B0749"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乙公司按照原定沟通机制，向业务人员提出网页设计修改要求，并督促业务部门尽快实施。然而，业务人员甚至业务部经理对技术细节的理解有限，而且无</w:t>
      </w:r>
      <w:r w:rsidRPr="00882C67">
        <w:rPr>
          <w:rFonts w:hint="eastAsia"/>
          <w:color w:val="333333"/>
        </w:rPr>
        <w:lastRenderedPageBreak/>
        <w:t>法跨部门地安排技术人员的工作，导致该外包业务失败。</w:t>
      </w:r>
    </w:p>
    <w:p w14:paraId="2966F39B" w14:textId="7CBC8889" w:rsidR="00E34431" w:rsidRPr="00882C67" w:rsidRDefault="00E34431" w:rsidP="00882C67">
      <w:pPr>
        <w:pStyle w:val="a3"/>
        <w:widowControl w:val="0"/>
        <w:adjustRightInd w:val="0"/>
        <w:snapToGrid w:val="0"/>
        <w:spacing w:before="0" w:beforeAutospacing="0" w:after="0" w:afterAutospacing="0" w:line="360" w:lineRule="auto"/>
        <w:ind w:firstLineChars="200" w:firstLine="480"/>
        <w:jc w:val="both"/>
        <w:rPr>
          <w:rFonts w:cs="ArialMT"/>
          <w:color w:val="333333"/>
        </w:rPr>
      </w:pPr>
      <w:r w:rsidRPr="00882C67">
        <w:rPr>
          <w:rFonts w:hint="eastAsia"/>
          <w:color w:val="333333"/>
        </w:rPr>
        <w:t>要求：运用业务外包活动控制的有关知识，指出甲、乙公司这一案例违背了哪些关键风险点，应运用何种控制措施加以预防</w:t>
      </w:r>
      <w:r w:rsidRPr="00882C67">
        <w:rPr>
          <w:rFonts w:cs="ArialMT"/>
          <w:color w:val="333333"/>
        </w:rPr>
        <w:t>?</w:t>
      </w:r>
    </w:p>
    <w:p w14:paraId="4C041DB3" w14:textId="06C43933" w:rsidR="00C923F5" w:rsidRDefault="00C923F5" w:rsidP="00882C67">
      <w:pPr>
        <w:pStyle w:val="a3"/>
        <w:widowControl w:val="0"/>
        <w:adjustRightInd w:val="0"/>
        <w:snapToGrid w:val="0"/>
        <w:spacing w:before="0" w:beforeAutospacing="0" w:after="0" w:afterAutospacing="0" w:line="360" w:lineRule="auto"/>
        <w:ind w:firstLineChars="200" w:firstLine="480"/>
        <w:jc w:val="both"/>
        <w:rPr>
          <w:color w:val="333333"/>
        </w:rPr>
      </w:pPr>
      <w:r w:rsidRPr="00882C67">
        <w:rPr>
          <w:rFonts w:hint="eastAsia"/>
          <w:color w:val="333333"/>
        </w:rPr>
        <w:t>业务外包的关键风险点主要包括：制定业务外包实施方案、审核批准、选择承包方、签订业务外包合同、业务外包的实施与管理、验收、会计系统控制。该案例甲、乙两公司违背的主要风险点：业务外包的实施与管理，该环节的主要风险包括：与承包方的对接工作不到位，沟通协调不力；缺乏对承包方履约能力的持续评估以及应急机制，造成业务外包失败和生产经营活动中断；对承包方的索赔不力。案例中甲、乙公司对业务外包的不同处理结果反映了业务外包的实施与管理的重要性。企业必须执行严格的控制措施：第一，严格按照业务外包制度、工作流程和相关要求，组织开展业务外包，并采取有效的控制措施，确保承包方严格履行业务外包合同。第二，做好与承包方的对接工作，加强与承包方的沟通与协调，及时搜集相关信息，发现和解决外包业务日常管理中存在的问题。第三，承包方的履约能力进行持续评估，有确凿证据表明承包方存在重大违约行为，导致业务外包合同无法履行的，应当及时终止合同。对于重大业务外包，建立相应的应急机制，避免业务外包失败造成本企业生产经营活动中断。第四，承包方违约并造成企业损失的，企业应当按照合同对承包方进行索赔，并追究责任人责任。</w:t>
      </w:r>
    </w:p>
    <w:p w14:paraId="251DBD59" w14:textId="0B7F4BE4" w:rsidR="006B0200" w:rsidRPr="00F01F10" w:rsidRDefault="006B0200" w:rsidP="00F01F10">
      <w:pPr>
        <w:pStyle w:val="3"/>
        <w:rPr>
          <w:rFonts w:ascii="黑体" w:eastAsia="黑体" w:hAnsi="黑体"/>
          <w:sz w:val="24"/>
          <w:szCs w:val="24"/>
        </w:rPr>
      </w:pPr>
      <w:bookmarkStart w:id="13" w:name="_Toc112172052"/>
      <w:r w:rsidRPr="00F01F10">
        <w:rPr>
          <w:rFonts w:ascii="黑体" w:eastAsia="黑体" w:hAnsi="黑体" w:hint="eastAsia"/>
          <w:sz w:val="24"/>
          <w:szCs w:val="24"/>
        </w:rPr>
        <w:t>案例1</w:t>
      </w:r>
      <w:r w:rsidR="00F37237">
        <w:rPr>
          <w:rFonts w:ascii="黑体" w:eastAsia="黑体" w:hAnsi="黑体"/>
          <w:sz w:val="24"/>
          <w:szCs w:val="24"/>
        </w:rPr>
        <w:t>3</w:t>
      </w:r>
      <w:r w:rsidRPr="00F01F10">
        <w:rPr>
          <w:rFonts w:ascii="黑体" w:eastAsia="黑体" w:hAnsi="黑体" w:hint="eastAsia"/>
          <w:sz w:val="24"/>
          <w:szCs w:val="24"/>
        </w:rPr>
        <w:t>：香港证监会起诉荣智健，为</w:t>
      </w:r>
      <w:r w:rsidRPr="00F01F10">
        <w:rPr>
          <w:rFonts w:ascii="黑体" w:eastAsia="黑体" w:hAnsi="黑体"/>
          <w:sz w:val="24"/>
          <w:szCs w:val="24"/>
        </w:rPr>
        <w:t>4 500位股民讨赔偿</w:t>
      </w:r>
      <w:bookmarkEnd w:id="13"/>
    </w:p>
    <w:p w14:paraId="00F5CC83"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问题：</w:t>
      </w:r>
    </w:p>
    <w:p w14:paraId="70B37482"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color w:val="333333"/>
        </w:rPr>
        <w:t>1.分析中信泰富</w:t>
      </w:r>
      <w:proofErr w:type="gramStart"/>
      <w:r w:rsidRPr="006B0200">
        <w:rPr>
          <w:color w:val="333333"/>
        </w:rPr>
        <w:t>炒汇巨亏的</w:t>
      </w:r>
      <w:proofErr w:type="gramEnd"/>
      <w:r w:rsidRPr="006B0200">
        <w:rPr>
          <w:color w:val="333333"/>
        </w:rPr>
        <w:t>原因。</w:t>
      </w:r>
    </w:p>
    <w:p w14:paraId="2F89A4E7"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color w:val="333333"/>
        </w:rPr>
        <w:t>2.讨论为什么内部控制与风险管理的相关立法越来越完善，但仍然不能杜绝企业违规造成的巨大风险及损失。</w:t>
      </w:r>
    </w:p>
    <w:p w14:paraId="4E87F2BB"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参考答案：</w:t>
      </w:r>
    </w:p>
    <w:p w14:paraId="5077CE58"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color w:val="333333"/>
        </w:rPr>
        <w:t>1.直接原因：澳元大幅贬值导致外汇杠杆交易失败。中信泰富在澳大利亚收购了一个铁矿项目，许多设备和投入必须以澳元支付。为了减低项目面临的货币风险，公司签订若干杠杆式外汇买卖合约。而在签订外汇杠杆交易合约之后，澳元开始持续贬值，澳元兑美元跌幅高达10.8%，几乎抹平了2008年以前的涨幅，</w:t>
      </w:r>
      <w:r w:rsidRPr="006B0200">
        <w:rPr>
          <w:color w:val="333333"/>
        </w:rPr>
        <w:lastRenderedPageBreak/>
        <w:t>中信泰</w:t>
      </w:r>
      <w:proofErr w:type="gramStart"/>
      <w:r w:rsidRPr="006B0200">
        <w:rPr>
          <w:color w:val="333333"/>
        </w:rPr>
        <w:t>富签订</w:t>
      </w:r>
      <w:proofErr w:type="gramEnd"/>
      <w:r w:rsidRPr="006B0200">
        <w:rPr>
          <w:color w:val="333333"/>
        </w:rPr>
        <w:t>的外汇杠杆交易合约跌破锁定汇价，仍在生效的杠杠式外汇买卖合约按公平价定值的亏损约为147亿港元。</w:t>
      </w:r>
    </w:p>
    <w:p w14:paraId="1F33DAB7"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深层次原因：内部控制与风险管理的失败。导致其</w:t>
      </w:r>
      <w:proofErr w:type="gramStart"/>
      <w:r w:rsidRPr="006B0200">
        <w:rPr>
          <w:rFonts w:hint="eastAsia"/>
          <w:color w:val="333333"/>
        </w:rPr>
        <w:t>巨亏发生</w:t>
      </w:r>
      <w:proofErr w:type="gramEnd"/>
      <w:r w:rsidRPr="006B0200">
        <w:rPr>
          <w:rFonts w:hint="eastAsia"/>
          <w:color w:val="333333"/>
        </w:rPr>
        <w:t>的深层次原因在于该公司缺乏一套完善的内部控制与风险管理的体系，具体包括：</w:t>
      </w:r>
    </w:p>
    <w:p w14:paraId="235A62AB"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w:t>
      </w:r>
      <w:r w:rsidRPr="006B0200">
        <w:rPr>
          <w:color w:val="333333"/>
        </w:rPr>
        <w:t>1）缺乏良好的内部环境。中信富</w:t>
      </w:r>
      <w:proofErr w:type="gramStart"/>
      <w:r w:rsidRPr="006B0200">
        <w:rPr>
          <w:color w:val="333333"/>
        </w:rPr>
        <w:t>泰签订</w:t>
      </w:r>
      <w:proofErr w:type="gramEnd"/>
      <w:r w:rsidRPr="006B0200">
        <w:rPr>
          <w:color w:val="333333"/>
        </w:rPr>
        <w:t>外汇合约的目的充满了投机性，按合约接受的94.4亿澳元远远超过公司铁矿石项目预计所需的26亿澳元。在澳元大幅贬值之初，中信泰富经营管理层本有机会在此期间采取措施减小损失，但却未采取任何措施，应对风险的反应滞后，这都反映出中信泰富经营管理层风险意识淡薄。</w:t>
      </w:r>
    </w:p>
    <w:p w14:paraId="5D87F8D6"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w:t>
      </w:r>
      <w:r w:rsidRPr="006B0200">
        <w:rPr>
          <w:color w:val="333333"/>
        </w:rPr>
        <w:t>2）缺乏有效的风险评估。中信泰富买入澳元期权总额高达94.4亿澳元，但中信泰富密集买入澳元的时段为2007年8月至2008年8月，同期，全球经济危机已经显露征兆。中信泰富的管理</w:t>
      </w:r>
      <w:proofErr w:type="gramStart"/>
      <w:r w:rsidRPr="006B0200">
        <w:rPr>
          <w:color w:val="333333"/>
        </w:rPr>
        <w:t>层此时</w:t>
      </w:r>
      <w:proofErr w:type="gramEnd"/>
      <w:r w:rsidRPr="006B0200">
        <w:rPr>
          <w:color w:val="333333"/>
        </w:rPr>
        <w:t>仍选择了杠杆式外汇合约，将澳元作为买卖品，风险与收益明显不对称，澳元汇率上升时公司获得的利润上限被锁定，但未考虑相关货币贬值而设定止损金额，利益有限而风险无限。这反映了公司在签订合约的初期没有对合约潜在的风险进行评估，欠缺风险识别能力和应对能力，荣智健承认：“有关外汇合同的签订未经过恰当的审批，而且其潜在的风险也未得到正确的评</w:t>
      </w:r>
      <w:r w:rsidRPr="006B0200">
        <w:rPr>
          <w:rFonts w:hint="eastAsia"/>
          <w:color w:val="333333"/>
        </w:rPr>
        <w:t>估。”这为</w:t>
      </w:r>
      <w:proofErr w:type="gramStart"/>
      <w:r w:rsidRPr="006B0200">
        <w:rPr>
          <w:rFonts w:hint="eastAsia"/>
          <w:color w:val="333333"/>
        </w:rPr>
        <w:t>日后巨亏埋下</w:t>
      </w:r>
      <w:proofErr w:type="gramEnd"/>
      <w:r w:rsidRPr="006B0200">
        <w:rPr>
          <w:rFonts w:hint="eastAsia"/>
          <w:color w:val="333333"/>
        </w:rPr>
        <w:t>伏笔。</w:t>
      </w:r>
    </w:p>
    <w:p w14:paraId="446204DB"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w:t>
      </w:r>
      <w:r w:rsidRPr="006B0200">
        <w:rPr>
          <w:color w:val="333333"/>
        </w:rPr>
        <w:t>3）控制活动混乱。控制活动是企业保证战略目标实施的关键所在，企业在实施重大战略规划前，应当获得董事会的批准，在实施的过程中也应当随时向公司高层汇报进展，以便在发生问题时采取有效措施。中信泰富在对外公告中表示：此次事件源于财务层面未遵守公司对</w:t>
      </w:r>
      <w:proofErr w:type="gramStart"/>
      <w:r w:rsidRPr="006B0200">
        <w:rPr>
          <w:color w:val="333333"/>
        </w:rPr>
        <w:t>冲风险</w:t>
      </w:r>
      <w:proofErr w:type="gramEnd"/>
      <w:r w:rsidRPr="006B0200">
        <w:rPr>
          <w:color w:val="333333"/>
        </w:rPr>
        <w:t>政策，且在交易中未按规定取得批准，超越财务部门应有权限。在亏损事件曝光后，董事会主席荣智健表示其并不知情。这反映了中信泰富在公司治理方面存在重大缺陷，其控制活动混乱不堪，违背了内部控制中职责分明、授权审批等多项基本原理。</w:t>
      </w:r>
    </w:p>
    <w:p w14:paraId="7F611A99"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w:t>
      </w:r>
      <w:r w:rsidRPr="006B0200">
        <w:rPr>
          <w:color w:val="333333"/>
        </w:rPr>
        <w:t>4）监控制度形同虚设导致个人渎职的发生。对于这项合约的签订，董事会主席荣智健毫不知情，财务董事行使了超越其权限范围的权利，这反映了公司的监控制度形容虚设，监督部门未能对管理人员进行有力监督，致使个人渎职的发生。</w:t>
      </w:r>
    </w:p>
    <w:p w14:paraId="4B466601"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color w:val="333333"/>
        </w:rPr>
        <w:t>2.</w:t>
      </w:r>
    </w:p>
    <w:p w14:paraId="66C4091B"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lastRenderedPageBreak/>
        <w:t>（</w:t>
      </w:r>
      <w:r w:rsidRPr="006B0200">
        <w:rPr>
          <w:color w:val="333333"/>
        </w:rPr>
        <w:t>1）政策与法规建立在现实世界的基础之上，针对实际情况而设立，目的是解决实际的经济问题。但随着世界范围内市场经济的不断发展，全球经济一体化不断深入，交流与合作加深的同时企业经济活动也日益复杂化，各种各样的实际情况不断发生，并且由于经济环境的动态性、交互性，经济环境时刻处于不断更新、发展、变化的状态中，这种时刻变化的特征决定了政策与法规不能固定不变，而政策与法规与现实状况相比，总是存在着一定的滞后性，这说明，世界上没有任何一种完美的法律规范来对企业的经济活动进行监督控制，所以无法杜绝企业违规造成的巨大风险。</w:t>
      </w:r>
    </w:p>
    <w:p w14:paraId="099E3B5C"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w:t>
      </w:r>
      <w:r w:rsidRPr="006B0200">
        <w:rPr>
          <w:color w:val="333333"/>
        </w:rPr>
        <w:t>2）从人性角度看，人的天性中存在一定程度的追逐巨额利益的驱动，结合偏好曲线的理论，人们对于高风险、</w:t>
      </w:r>
      <w:proofErr w:type="gramStart"/>
      <w:r w:rsidRPr="006B0200">
        <w:rPr>
          <w:color w:val="333333"/>
        </w:rPr>
        <w:t>高利益</w:t>
      </w:r>
      <w:proofErr w:type="gramEnd"/>
      <w:r w:rsidRPr="006B0200">
        <w:rPr>
          <w:color w:val="333333"/>
        </w:rPr>
        <w:t>事件的偏好程度是不同的。同时，如果对管理人员的思想道德与法律等方面的教育程度不足，当管理人员意识到企业进行违规操作可以获得巨大的利益时，有些管理人员会在利益的诱惑下铤而走险，这使得企业永远无法杜绝违规事件。</w:t>
      </w:r>
    </w:p>
    <w:p w14:paraId="47B0D4D4" w14:textId="674720CA" w:rsidR="006B0200" w:rsidRPr="00F01F10" w:rsidRDefault="006B0200" w:rsidP="00F01F10">
      <w:pPr>
        <w:pStyle w:val="3"/>
        <w:rPr>
          <w:rFonts w:ascii="黑体" w:eastAsia="黑体" w:hAnsi="黑体"/>
          <w:sz w:val="24"/>
          <w:szCs w:val="24"/>
        </w:rPr>
      </w:pPr>
      <w:bookmarkStart w:id="14" w:name="_Toc112172053"/>
      <w:r w:rsidRPr="00F01F10">
        <w:rPr>
          <w:rFonts w:ascii="黑体" w:eastAsia="黑体" w:hAnsi="黑体" w:hint="eastAsia"/>
          <w:sz w:val="24"/>
          <w:szCs w:val="24"/>
        </w:rPr>
        <w:t>案例1</w:t>
      </w:r>
      <w:r w:rsidR="00F37237">
        <w:rPr>
          <w:rFonts w:ascii="黑体" w:eastAsia="黑体" w:hAnsi="黑体"/>
          <w:sz w:val="24"/>
          <w:szCs w:val="24"/>
        </w:rPr>
        <w:t>4</w:t>
      </w:r>
      <w:r w:rsidRPr="00F01F10">
        <w:rPr>
          <w:rFonts w:ascii="黑体" w:eastAsia="黑体" w:hAnsi="黑体" w:hint="eastAsia"/>
          <w:sz w:val="24"/>
          <w:szCs w:val="24"/>
        </w:rPr>
        <w:t>：益强公司因深陷债务违约危机而破产重组</w:t>
      </w:r>
      <w:bookmarkEnd w:id="14"/>
    </w:p>
    <w:p w14:paraId="65E19E0F"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问题：</w:t>
      </w:r>
    </w:p>
    <w:p w14:paraId="1B798583"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color w:val="333333"/>
        </w:rPr>
        <w:t>1.益强公司发生哪些风险？</w:t>
      </w:r>
    </w:p>
    <w:p w14:paraId="2003A0D3"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color w:val="333333"/>
        </w:rPr>
        <w:t>2.从内部控制与风险管理的角度分析益强公司破产的原因。</w:t>
      </w:r>
    </w:p>
    <w:p w14:paraId="463D74E6"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参考答案：</w:t>
      </w:r>
    </w:p>
    <w:p w14:paraId="3EBA88E0"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color w:val="333333"/>
        </w:rPr>
        <w:t>1.企业风险一般可分为战略风险、财务风险、市场风险、运营风险、法律风险等。益强公司发生了市场风险和战略风险。</w:t>
      </w:r>
    </w:p>
    <w:p w14:paraId="1521D3BE"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市场风险：</w:t>
      </w:r>
      <w:r w:rsidRPr="006B0200">
        <w:rPr>
          <w:color w:val="333333"/>
        </w:rPr>
        <w:t xml:space="preserve"> </w:t>
      </w:r>
    </w:p>
    <w:p w14:paraId="4DC4D5BF"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w:t>
      </w:r>
      <w:r w:rsidRPr="006B0200">
        <w:rPr>
          <w:color w:val="333333"/>
        </w:rPr>
        <w:t>1）产品或服务的价格及供需变化带来的风险。“受2008年美国</w:t>
      </w:r>
      <w:proofErr w:type="gramStart"/>
      <w:r w:rsidRPr="006B0200">
        <w:rPr>
          <w:color w:val="333333"/>
        </w:rPr>
        <w:t>次贷</w:t>
      </w:r>
      <w:proofErr w:type="gramEnd"/>
      <w:r w:rsidRPr="006B0200">
        <w:rPr>
          <w:color w:val="333333"/>
        </w:rPr>
        <w:t xml:space="preserve">危机和 2011年欧债危机影响，欧美国家和地区纷纷大幅削减甚至取消光伏补贴，光伏产品国际市场需求急剧萎缩。随后欧盟对中国光伏产品发起‘反倾销、反补贴’调查，光伏企业出口遭受重创。全行业的非理性发展导致产能严重过剩，市场供大于求……”  </w:t>
      </w:r>
    </w:p>
    <w:p w14:paraId="1348E34C"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w:t>
      </w:r>
      <w:r w:rsidRPr="006B0200">
        <w:rPr>
          <w:color w:val="333333"/>
        </w:rPr>
        <w:t xml:space="preserve">2）主要客户、主要供应商的信用风险。“欧盟经济低迷，海外客户还款能力下降……”  </w:t>
      </w:r>
    </w:p>
    <w:p w14:paraId="6E448517"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lastRenderedPageBreak/>
        <w:t>（</w:t>
      </w:r>
      <w:r w:rsidRPr="006B0200">
        <w:rPr>
          <w:color w:val="333333"/>
        </w:rPr>
        <w:t xml:space="preserve">3）税收政策和利率、汇率、股票价格指数的变化带来的风险。“欧元汇率下跌……汇兑损失……使严重依赖海外市场的益强公司出现大额亏损。”  </w:t>
      </w:r>
    </w:p>
    <w:p w14:paraId="55B2C32F"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w:t>
      </w:r>
      <w:r w:rsidRPr="006B0200">
        <w:rPr>
          <w:color w:val="333333"/>
        </w:rPr>
        <w:t>4）潜在进入者、竞争者、替代品带来的风险。“全行业的非理性发展导致产能严重过剩，市场供大于求，企业间开始以价格战展开恶性竞争，利润急速下降甚至亏损。”</w:t>
      </w:r>
    </w:p>
    <w:p w14:paraId="45F6B76B" w14:textId="77777777" w:rsidR="006B0200" w:rsidRPr="006B0200" w:rsidRDefault="006B0200" w:rsidP="006B0200">
      <w:pPr>
        <w:pStyle w:val="a3"/>
        <w:adjustRightInd w:val="0"/>
        <w:snapToGrid w:val="0"/>
        <w:spacing w:before="0" w:beforeAutospacing="0" w:after="0" w:afterAutospacing="0" w:line="360" w:lineRule="auto"/>
        <w:ind w:firstLineChars="200" w:firstLine="480"/>
        <w:jc w:val="both"/>
        <w:rPr>
          <w:color w:val="333333"/>
        </w:rPr>
      </w:pPr>
      <w:r w:rsidRPr="006B0200">
        <w:rPr>
          <w:rFonts w:hint="eastAsia"/>
          <w:color w:val="333333"/>
        </w:rPr>
        <w:t>战略风险：发展战略过于激进，脱离企业实际能力或偏离主业，可能导致企业过度扩张，甚至经营失败。“在资本市场获得大额融资的同时，益强公司开始了激进的扩张之路。从横向看，为了扩大市场份额，益强公司在欧美多个国家投资或设立子公司；从纵向看，益强公司布局光伏全产业链，实施纵向一体化发展战略，由产业中游的组件生产延伸至上游的硅料和下游的电站领域。益强公司还大举投资房地产、炼油、水处理和</w:t>
      </w:r>
      <w:r w:rsidRPr="006B0200">
        <w:rPr>
          <w:color w:val="333333"/>
        </w:rPr>
        <w:t xml:space="preserve"> LED 显示屏等项目。”</w:t>
      </w:r>
    </w:p>
    <w:p w14:paraId="78BC2586" w14:textId="29F3FE85" w:rsidR="006B0200" w:rsidRDefault="006B0200" w:rsidP="006B0200">
      <w:pPr>
        <w:pStyle w:val="a3"/>
        <w:widowControl w:val="0"/>
        <w:adjustRightInd w:val="0"/>
        <w:snapToGrid w:val="0"/>
        <w:spacing w:before="0" w:beforeAutospacing="0" w:after="0" w:afterAutospacing="0" w:line="360" w:lineRule="auto"/>
        <w:ind w:firstLineChars="200" w:firstLine="480"/>
        <w:jc w:val="both"/>
        <w:rPr>
          <w:color w:val="333333"/>
        </w:rPr>
      </w:pPr>
      <w:r w:rsidRPr="006B0200">
        <w:rPr>
          <w:color w:val="333333"/>
        </w:rPr>
        <w:t>2.</w:t>
      </w:r>
      <w:r w:rsidRPr="006B0200">
        <w:rPr>
          <w:color w:val="333333"/>
        </w:rPr>
        <w:tab/>
        <w:t>首先，战略失误和市场风险变化是益强公司破产的直接原因。其次，一般情况下，对战略风险、财务风险、运营风险和法律风险，可采取风险承担、风险规避、风险转换、风险控制等方法；对能够通过保险、期货、对冲等金融手段进行理财的风险，可以采用风险转移、风险对冲、风险补偿等方法。</w:t>
      </w:r>
      <w:proofErr w:type="gramStart"/>
      <w:r w:rsidRPr="006B0200">
        <w:rPr>
          <w:color w:val="333333"/>
        </w:rPr>
        <w:t>但益强</w:t>
      </w:r>
      <w:proofErr w:type="gramEnd"/>
      <w:r w:rsidRPr="006B0200">
        <w:rPr>
          <w:color w:val="333333"/>
        </w:rPr>
        <w:t>公司在发生了战略风险和市场风险后，并未采取任何风险管理方法，仍执着于多方融资扩大产能，致使产品滞销、库存积压。同时，存货跌价损失、汇兑损失、坏账准备的计提使严重依赖海外市场的益强公司出现大额亏损。上述原因导致益强公司资金链断裂，成为国内债</w:t>
      </w:r>
      <w:r w:rsidRPr="006B0200">
        <w:rPr>
          <w:rFonts w:hint="eastAsia"/>
          <w:color w:val="333333"/>
        </w:rPr>
        <w:t>券市场上第一家违约公司，最终破产。</w:t>
      </w:r>
    </w:p>
    <w:p w14:paraId="6895E845" w14:textId="13581388" w:rsidR="006B0200" w:rsidRPr="00F01F10" w:rsidRDefault="006B0200" w:rsidP="00F01F10">
      <w:pPr>
        <w:pStyle w:val="3"/>
        <w:rPr>
          <w:rFonts w:ascii="黑体" w:eastAsia="黑体" w:hAnsi="黑体"/>
          <w:sz w:val="24"/>
          <w:szCs w:val="24"/>
        </w:rPr>
      </w:pPr>
      <w:bookmarkStart w:id="15" w:name="_Toc112172054"/>
      <w:r w:rsidRPr="00F01F10">
        <w:rPr>
          <w:rFonts w:ascii="黑体" w:eastAsia="黑体" w:hAnsi="黑体" w:hint="eastAsia"/>
          <w:sz w:val="24"/>
          <w:szCs w:val="24"/>
        </w:rPr>
        <w:t>案例</w:t>
      </w:r>
      <w:r w:rsidR="00F37237">
        <w:rPr>
          <w:rFonts w:ascii="黑体" w:eastAsia="黑体" w:hAnsi="黑体"/>
          <w:sz w:val="24"/>
          <w:szCs w:val="24"/>
        </w:rPr>
        <w:t>15</w:t>
      </w:r>
      <w:r w:rsidRPr="00F01F10">
        <w:rPr>
          <w:rFonts w:ascii="黑体" w:eastAsia="黑体" w:hAnsi="黑体" w:hint="eastAsia"/>
          <w:sz w:val="24"/>
          <w:szCs w:val="24"/>
        </w:rPr>
        <w:t>：奥林巴斯的内部控制</w:t>
      </w:r>
      <w:bookmarkEnd w:id="15"/>
    </w:p>
    <w:p w14:paraId="59FC9407" w14:textId="77777777" w:rsidR="006B0200" w:rsidRDefault="006B0200" w:rsidP="006B0200">
      <w:pPr>
        <w:pStyle w:val="a8"/>
        <w:spacing w:line="360" w:lineRule="auto"/>
        <w:ind w:firstLine="482"/>
        <w:rPr>
          <w:rFonts w:ascii="宋体" w:eastAsia="宋体" w:hAnsi="宋体" w:cs="宋体"/>
          <w:b/>
          <w:bCs/>
          <w:color w:val="000000"/>
          <w:kern w:val="0"/>
          <w:sz w:val="24"/>
        </w:rPr>
      </w:pPr>
      <w:r>
        <w:rPr>
          <w:rFonts w:ascii="宋体" w:eastAsia="宋体" w:hAnsi="宋体" w:cs="宋体" w:hint="eastAsia"/>
          <w:b/>
          <w:bCs/>
          <w:color w:val="000000"/>
          <w:kern w:val="0"/>
          <w:sz w:val="24"/>
        </w:rPr>
        <w:t>问题：</w:t>
      </w:r>
    </w:p>
    <w:p w14:paraId="49C7BF23" w14:textId="77777777" w:rsidR="006B0200" w:rsidRDefault="006B0200" w:rsidP="006B0200">
      <w:pPr>
        <w:pStyle w:val="a8"/>
        <w:spacing w:line="360" w:lineRule="auto"/>
        <w:ind w:firstLine="480"/>
        <w:rPr>
          <w:rFonts w:ascii="宋体" w:eastAsia="宋体" w:hAnsi="宋体" w:cs="宋体"/>
          <w:color w:val="000000"/>
          <w:kern w:val="0"/>
          <w:sz w:val="24"/>
        </w:rPr>
      </w:pPr>
      <w:r>
        <w:rPr>
          <w:rFonts w:ascii="宋体" w:eastAsia="宋体" w:hAnsi="宋体" w:cs="宋体" w:hint="eastAsia"/>
          <w:color w:val="000000"/>
          <w:kern w:val="0"/>
          <w:sz w:val="24"/>
        </w:rPr>
        <w:t>根据上述资料，结合本章相关知识，你认为奥林巴斯的内部控制可能存在哪些缺陷？</w:t>
      </w:r>
    </w:p>
    <w:p w14:paraId="0EFC7F74" w14:textId="77777777" w:rsidR="006B0200" w:rsidRDefault="006B0200" w:rsidP="006B0200">
      <w:pPr>
        <w:spacing w:line="360" w:lineRule="auto"/>
        <w:ind w:firstLineChars="200" w:firstLine="482"/>
        <w:rPr>
          <w:rFonts w:ascii="宋体" w:eastAsia="宋体" w:hAnsi="宋体" w:cs="宋体"/>
          <w:b/>
          <w:bCs/>
          <w:color w:val="000000"/>
          <w:kern w:val="0"/>
          <w:sz w:val="24"/>
        </w:rPr>
      </w:pPr>
      <w:r>
        <w:rPr>
          <w:rFonts w:ascii="宋体" w:eastAsia="宋体" w:hAnsi="宋体" w:cs="宋体" w:hint="eastAsia"/>
          <w:b/>
          <w:bCs/>
          <w:color w:val="000000"/>
          <w:kern w:val="0"/>
          <w:sz w:val="24"/>
        </w:rPr>
        <w:t>参考答案：</w:t>
      </w:r>
    </w:p>
    <w:p w14:paraId="07B24189" w14:textId="77777777" w:rsidR="006B0200" w:rsidRDefault="006B0200" w:rsidP="006B0200">
      <w:pPr>
        <w:spacing w:line="360" w:lineRule="auto"/>
        <w:ind w:firstLineChars="200" w:firstLine="480"/>
        <w:rPr>
          <w:rFonts w:ascii="宋体" w:eastAsia="宋体" w:hAnsi="宋体" w:cs="宋体"/>
          <w:color w:val="000000"/>
          <w:kern w:val="0"/>
          <w:sz w:val="24"/>
        </w:rPr>
      </w:pPr>
      <w:r>
        <w:rPr>
          <w:rFonts w:ascii="宋体" w:eastAsia="宋体" w:hAnsi="宋体" w:cs="宋体" w:hint="eastAsia"/>
          <w:color w:val="000000"/>
          <w:kern w:val="0"/>
          <w:sz w:val="24"/>
        </w:rPr>
        <w:t>在本案例中，奥林巴斯的舞弊行为源于其内部控制的缺陷，主要表现在以下方面：</w:t>
      </w:r>
    </w:p>
    <w:p w14:paraId="5C88E7AE" w14:textId="77777777" w:rsidR="006B0200" w:rsidRDefault="006B0200" w:rsidP="006B0200">
      <w:pPr>
        <w:spacing w:line="360" w:lineRule="auto"/>
        <w:ind w:firstLineChars="200" w:firstLine="480"/>
        <w:rPr>
          <w:rFonts w:ascii="宋体" w:eastAsia="宋体" w:hAnsi="宋体" w:cs="宋体"/>
          <w:color w:val="000000"/>
          <w:kern w:val="0"/>
          <w:sz w:val="24"/>
        </w:rPr>
      </w:pPr>
      <w:r>
        <w:rPr>
          <w:rFonts w:ascii="宋体" w:eastAsia="宋体" w:hAnsi="宋体" w:cs="宋体" w:hint="eastAsia"/>
          <w:color w:val="000000"/>
          <w:kern w:val="0"/>
          <w:sz w:val="24"/>
        </w:rPr>
        <w:t>（1）控制环境恶劣，公司治理结构存在严重缺陷。日本的</w:t>
      </w:r>
      <w:r>
        <w:rPr>
          <w:rFonts w:ascii="宋体" w:eastAsia="宋体" w:hAnsi="宋体" w:cs="宋体" w:hint="eastAsia"/>
          <w:i/>
          <w:iCs/>
          <w:color w:val="000000"/>
          <w:kern w:val="0"/>
          <w:sz w:val="24"/>
        </w:rPr>
        <w:t>FACTA</w:t>
      </w:r>
      <w:r>
        <w:rPr>
          <w:rFonts w:ascii="宋体" w:eastAsia="宋体" w:hAnsi="宋体" w:cs="宋体" w:hint="eastAsia"/>
          <w:color w:val="000000"/>
          <w:kern w:val="0"/>
          <w:sz w:val="24"/>
        </w:rPr>
        <w:t>杂志质疑奥林巴斯多起并购交易引起的巨额损失，时任奥林巴斯CEO的伍德福德向董事长</w:t>
      </w:r>
      <w:r>
        <w:rPr>
          <w:rFonts w:ascii="宋体" w:eastAsia="宋体" w:hAnsi="宋体" w:cs="宋体" w:hint="eastAsia"/>
          <w:color w:val="000000"/>
          <w:kern w:val="0"/>
          <w:sz w:val="24"/>
        </w:rPr>
        <w:lastRenderedPageBreak/>
        <w:t>和财务副总裁</w:t>
      </w:r>
      <w:proofErr w:type="gramStart"/>
      <w:r>
        <w:rPr>
          <w:rFonts w:ascii="宋体" w:eastAsia="宋体" w:hAnsi="宋体" w:cs="宋体" w:hint="eastAsia"/>
          <w:color w:val="000000"/>
          <w:kern w:val="0"/>
          <w:sz w:val="24"/>
        </w:rPr>
        <w:t>询问时屡被</w:t>
      </w:r>
      <w:proofErr w:type="gramEnd"/>
      <w:r>
        <w:rPr>
          <w:rFonts w:ascii="宋体" w:eastAsia="宋体" w:hAnsi="宋体" w:cs="宋体" w:hint="eastAsia"/>
          <w:color w:val="000000"/>
          <w:kern w:val="0"/>
          <w:sz w:val="24"/>
        </w:rPr>
        <w:t>搪塞。当伍德福德将暗中调查的结果告诉其他董事会成员时却在董事会上遭到了解雇。说明奥林巴斯的公司治理结构存在严重缺陷。公司治理的关键在于明确、合理地配置公司股东、董事会、经理人员和其他利益相关者之间的权利、责任和利益，从而形成有效的制衡关系。对于奥林巴斯来说，董事会形成虚设，难以发挥应有的职责；缺乏监事会，无法对董事、高管等执行公司职务时违反法律、法规或者公司章程的行为进行监督。总之，奥林巴斯的公司治理严重失衡。</w:t>
      </w:r>
    </w:p>
    <w:p w14:paraId="0B2CDFEC" w14:textId="77777777" w:rsidR="006B0200" w:rsidRDefault="006B0200" w:rsidP="006B0200">
      <w:pPr>
        <w:spacing w:line="360" w:lineRule="auto"/>
        <w:ind w:firstLineChars="200" w:firstLine="480"/>
        <w:rPr>
          <w:rFonts w:ascii="宋体" w:eastAsia="宋体" w:hAnsi="宋体" w:cs="宋体"/>
          <w:color w:val="000000"/>
          <w:kern w:val="0"/>
          <w:sz w:val="24"/>
        </w:rPr>
      </w:pPr>
      <w:r>
        <w:rPr>
          <w:rFonts w:ascii="宋体" w:eastAsia="宋体" w:hAnsi="宋体" w:cs="宋体" w:hint="eastAsia"/>
          <w:color w:val="000000"/>
          <w:kern w:val="0"/>
          <w:sz w:val="24"/>
        </w:rPr>
        <w:t>（2）风险评估薄弱，控制活动缺失。当奥林巴斯持有的有价证券减值数百亿日元时，公司不但没有在财务报表中如实披露该事项，反而开始寻找新的办法防止巨额亏损被披露出来。这一事实，一方面反映了奥林巴斯内部控制制度中风险评估环节的薄弱——造成了如此巨额的亏损，另一方面也反映出其控制活动的缺失，即通过非正常的手段来隐瞒亏损，而不是采用合理恰当的控制活动将风险控制在可接受的范围内。</w:t>
      </w:r>
    </w:p>
    <w:p w14:paraId="53970ED0" w14:textId="77777777" w:rsidR="006B0200" w:rsidRDefault="006B0200" w:rsidP="006B0200">
      <w:pPr>
        <w:spacing w:line="360" w:lineRule="auto"/>
        <w:ind w:firstLineChars="200" w:firstLine="480"/>
        <w:rPr>
          <w:rFonts w:ascii="宋体" w:eastAsia="宋体" w:hAnsi="宋体" w:cs="宋体"/>
          <w:color w:val="000000"/>
          <w:kern w:val="0"/>
          <w:sz w:val="24"/>
        </w:rPr>
      </w:pPr>
      <w:r>
        <w:rPr>
          <w:rFonts w:ascii="宋体" w:eastAsia="宋体" w:hAnsi="宋体" w:cs="宋体" w:hint="eastAsia"/>
          <w:color w:val="000000"/>
          <w:kern w:val="0"/>
          <w:sz w:val="24"/>
        </w:rPr>
        <w:t>（3）缺乏有效监督机制，舞弊行为严重。在奥林巴斯收购三家关联度不高的非上市公司之后，这三家公司的商誉发生了重大减值。在收购另一家公司的同时向财务咨询公司支付了超正常标准的佣金和费用，以此完成了对1 100亿日元亏损的填补。这些行为性质严重，是舞弊行为。奥林巴斯有机会进行这样的舞弊行为，是由其核算链条上的一系列机会造成的，说明奥林巴斯企业内部和外部都缺乏有效的监督机制。</w:t>
      </w:r>
    </w:p>
    <w:p w14:paraId="65203699" w14:textId="77777777" w:rsidR="006B0200" w:rsidRDefault="006B0200" w:rsidP="003F219B">
      <w:pPr>
        <w:adjustRightInd w:val="0"/>
        <w:snapToGrid w:val="0"/>
        <w:spacing w:line="360" w:lineRule="auto"/>
        <w:ind w:firstLineChars="200" w:firstLine="480"/>
        <w:rPr>
          <w:rFonts w:ascii="宋体" w:eastAsia="宋体" w:hAnsi="宋体" w:cs="宋体"/>
          <w:color w:val="000000"/>
          <w:kern w:val="0"/>
          <w:sz w:val="24"/>
        </w:rPr>
      </w:pPr>
      <w:r>
        <w:rPr>
          <w:rFonts w:ascii="宋体" w:eastAsia="宋体" w:hAnsi="宋体" w:cs="宋体" w:hint="eastAsia"/>
          <w:color w:val="000000"/>
          <w:kern w:val="0"/>
          <w:sz w:val="24"/>
        </w:rPr>
        <w:t>（4）存在制度安排缺陷，缺乏有力的内外部监督。从日本当时的整体环境来看，企业治理标准宽松，伴随着经济的持续低谷和全球市场竞争的加剧，制度安排的缺陷使日本公司难以形成有效的内部监督机制。同时，日本政府对于大公司舞弊案件的纵容，又使得日本企业缺乏有力的外部监督。</w:t>
      </w:r>
    </w:p>
    <w:p w14:paraId="0486DDD1" w14:textId="43899111" w:rsidR="003F219B" w:rsidRPr="00F01F10" w:rsidRDefault="003F219B" w:rsidP="00F01F10">
      <w:pPr>
        <w:pStyle w:val="3"/>
        <w:rPr>
          <w:rFonts w:ascii="黑体" w:eastAsia="黑体" w:hAnsi="黑体"/>
          <w:sz w:val="24"/>
          <w:szCs w:val="24"/>
        </w:rPr>
      </w:pPr>
      <w:bookmarkStart w:id="16" w:name="_Toc112172055"/>
      <w:r w:rsidRPr="00F01F10">
        <w:rPr>
          <w:rFonts w:ascii="黑体" w:eastAsia="黑体" w:hAnsi="黑体" w:hint="eastAsia"/>
          <w:sz w:val="24"/>
          <w:szCs w:val="24"/>
        </w:rPr>
        <w:t>案例1</w:t>
      </w:r>
      <w:r w:rsidR="00F37237">
        <w:rPr>
          <w:rFonts w:ascii="黑体" w:eastAsia="黑体" w:hAnsi="黑体"/>
          <w:sz w:val="24"/>
          <w:szCs w:val="24"/>
        </w:rPr>
        <w:t>6</w:t>
      </w:r>
      <w:r w:rsidRPr="00F01F10">
        <w:rPr>
          <w:rFonts w:ascii="黑体" w:eastAsia="黑体" w:hAnsi="黑体" w:hint="eastAsia"/>
          <w:sz w:val="24"/>
          <w:szCs w:val="24"/>
        </w:rPr>
        <w:t>：</w:t>
      </w:r>
      <w:r w:rsidRPr="00F01F10">
        <w:rPr>
          <w:rFonts w:ascii="黑体" w:eastAsia="黑体" w:hAnsi="黑体"/>
          <w:sz w:val="24"/>
          <w:szCs w:val="24"/>
        </w:rPr>
        <w:t>A公司的内部控制体系实施方案</w:t>
      </w:r>
      <w:bookmarkEnd w:id="16"/>
    </w:p>
    <w:p w14:paraId="44F854D8"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问题：</w:t>
      </w:r>
    </w:p>
    <w:p w14:paraId="05DBCBF9"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从内部控制理论和方法角度，指出</w:t>
      </w:r>
      <w:r w:rsidRPr="003F219B">
        <w:rPr>
          <w:color w:val="333333"/>
        </w:rPr>
        <w:t>A公司经理层提交的《企业内部控制基本规范》实施方案各要点中的不当之处，并简要说明理由。</w:t>
      </w:r>
    </w:p>
    <w:p w14:paraId="5C2CB957"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参考答案：</w:t>
      </w:r>
    </w:p>
    <w:p w14:paraId="3ACF2D0D"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lastRenderedPageBreak/>
        <w:t>实施方案要点（</w:t>
      </w:r>
      <w:r w:rsidRPr="003F219B">
        <w:rPr>
          <w:color w:val="333333"/>
        </w:rPr>
        <w:t>1）中，A公司实施内部控制的目标定位不当（或将确保获得标准无保留审计意见作为内控目标不当）。理由：建立健全内部控制的目标是合理保证企业经营管理合法合</w:t>
      </w:r>
      <w:proofErr w:type="gramStart"/>
      <w:r w:rsidRPr="003F219B">
        <w:rPr>
          <w:color w:val="333333"/>
        </w:rPr>
        <w:t>规</w:t>
      </w:r>
      <w:proofErr w:type="gramEnd"/>
      <w:r w:rsidRPr="003F219B">
        <w:rPr>
          <w:color w:val="333333"/>
        </w:rPr>
        <w:t>、资产安全、财务报告及相关信息真实完整、提高经营效率和效果、促进企业实现发展战略（或企业内部控制目标包括战略目标、经营目标、报告目标、资产目标、合</w:t>
      </w:r>
      <w:proofErr w:type="gramStart"/>
      <w:r w:rsidRPr="003F219B">
        <w:rPr>
          <w:color w:val="333333"/>
        </w:rPr>
        <w:t>规</w:t>
      </w:r>
      <w:proofErr w:type="gramEnd"/>
      <w:r w:rsidRPr="003F219B">
        <w:rPr>
          <w:color w:val="333333"/>
        </w:rPr>
        <w:t>目标）。</w:t>
      </w:r>
    </w:p>
    <w:p w14:paraId="39001B86"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实施方案要点（</w:t>
      </w:r>
      <w:r w:rsidRPr="003F219B">
        <w:rPr>
          <w:color w:val="333333"/>
        </w:rPr>
        <w:t>2）中，（1）由总会计师担任审计委员会主任不当。理由：审计委员会负责人应具备相应的独立性（或审计委员会负责人应当由独立董事担任）。（2）由总会计师兼任内部控制领导小组组长，全权负责本公司内部控制的建立健全和有效实施不当。理由：董事会负责内部控制的建立健全和有效实施（或单位负责人对内部控制的建立健全和有效实施负责）。（3）将业务能力作为选人、用人的决定性标准不当。理由：企业选拔、任用员工，既应当看重业务能力，也应当重视职业道德修养（或企业选拔、任用员工，应当德才兼备）。</w:t>
      </w:r>
    </w:p>
    <w:p w14:paraId="542CA850"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实施方案要点（</w:t>
      </w:r>
      <w:r w:rsidRPr="003F219B">
        <w:rPr>
          <w:color w:val="333333"/>
        </w:rPr>
        <w:t>3）中，（1）对外部风险忽略不计，重点识别和分析内部风险不当。理由：企业在开展风险评估时，应准确识别与实现控制目标相关的内部风险和外部风险。（2）单纯采用定性分析方法不当。理由：开展风险分析，应采用定性与定量相结合的分析方法。（3）主要采取风险规避策略应对风险不当。理由：企业采用何种风险应对策略，应当根据风险评估结果、风险承受度，结合成本效益原则合理确定（或企业应当综合运用风险规避、风险降低、风险分担、风险承受等应对策略）。</w:t>
      </w:r>
    </w:p>
    <w:p w14:paraId="5041ED96"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实施方案要点（</w:t>
      </w:r>
      <w:r w:rsidRPr="003F219B">
        <w:rPr>
          <w:color w:val="333333"/>
        </w:rPr>
        <w:t>4）中，将员工实施内部控制的情况仅作为绩效考评的参考指标不当。理由：企业应将员工实施内部控制的情况纳入绩效考评体系，作为绩效考评的考核指标（或企业应将员工实施内部控制的情况作为晋升、奖励、惩处等的依据）。</w:t>
      </w:r>
    </w:p>
    <w:p w14:paraId="0C447C3F"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实施方案要点（</w:t>
      </w:r>
      <w:r w:rsidRPr="003F219B">
        <w:rPr>
          <w:color w:val="333333"/>
        </w:rPr>
        <w:t>5）中，认为运用信息技术、实现自动控制就能杜绝错误和舞弊不当。理由：内部控制只能为实现控制目标提供合理保证，信息系统本身也存在风险，需要加强控制。</w:t>
      </w:r>
    </w:p>
    <w:p w14:paraId="3A5F2DD1"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实施方案要点（</w:t>
      </w:r>
      <w:r w:rsidRPr="003F219B">
        <w:rPr>
          <w:color w:val="333333"/>
        </w:rPr>
        <w:t>6）中，（1）主要将与财务会计工作密切相关的业务环节和控制流程纳入监督范围不当。理由：内部监督应当将企业所有重要业务事项和高风险领域纳入监督范围（或内部监督范围应当涉及全员、全业务、全过程）。（2）把开展专项监督摆在首要位置不当。理由：内部监督包括日常监督和专项监督，</w:t>
      </w:r>
      <w:r w:rsidRPr="003F219B">
        <w:rPr>
          <w:color w:val="333333"/>
        </w:rPr>
        <w:lastRenderedPageBreak/>
        <w:t>二者应统筹兼顾、综合应用。（3）同时聘请会计师事务所开展内部控制审计不当。理由：为企业提供内部控制咨询服务的会计师事务所，不得同时为同一企业提供内部控制审计服务（或内部控制咨询服务与内部控制审计不相容）。</w:t>
      </w:r>
    </w:p>
    <w:p w14:paraId="324F1E9D" w14:textId="7C8EEC81" w:rsidR="003F219B" w:rsidRPr="00F01F10" w:rsidRDefault="00C97A5C" w:rsidP="00F01F10">
      <w:pPr>
        <w:pStyle w:val="3"/>
        <w:rPr>
          <w:rFonts w:ascii="黑体" w:eastAsia="黑体" w:hAnsi="黑体"/>
          <w:sz w:val="24"/>
          <w:szCs w:val="24"/>
        </w:rPr>
      </w:pPr>
      <w:bookmarkStart w:id="17" w:name="_Toc112172056"/>
      <w:r w:rsidRPr="00F01F10">
        <w:rPr>
          <w:rFonts w:ascii="黑体" w:eastAsia="黑体" w:hAnsi="黑体" w:hint="eastAsia"/>
          <w:sz w:val="24"/>
          <w:szCs w:val="24"/>
        </w:rPr>
        <w:t>案例1</w:t>
      </w:r>
      <w:r w:rsidR="00F37237">
        <w:rPr>
          <w:rFonts w:ascii="黑体" w:eastAsia="黑体" w:hAnsi="黑体"/>
          <w:sz w:val="24"/>
          <w:szCs w:val="24"/>
        </w:rPr>
        <w:t>7</w:t>
      </w:r>
      <w:r w:rsidRPr="00F01F10">
        <w:rPr>
          <w:rFonts w:ascii="黑体" w:eastAsia="黑体" w:hAnsi="黑体" w:hint="eastAsia"/>
          <w:sz w:val="24"/>
          <w:szCs w:val="24"/>
        </w:rPr>
        <w:t>：</w:t>
      </w:r>
      <w:r w:rsidR="003F219B" w:rsidRPr="00F01F10">
        <w:rPr>
          <w:rFonts w:ascii="黑体" w:eastAsia="黑体" w:hAnsi="黑体" w:hint="eastAsia"/>
          <w:sz w:val="24"/>
          <w:szCs w:val="24"/>
        </w:rPr>
        <w:t>甲公司的内部控制体系实施方案</w:t>
      </w:r>
      <w:bookmarkEnd w:id="17"/>
    </w:p>
    <w:p w14:paraId="20562E9A"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问题：</w:t>
      </w:r>
    </w:p>
    <w:p w14:paraId="25467AF3"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 xml:space="preserve">1.根据资料（1）（2）（4）（5），针对内部环境、风险评估、信息与沟通、内部监督要素评价过程中的各种意见分歧，假如你是公司审计委员会主席，逐项说明是否赞同内部控制评价工作组的意见，并说明理由。  </w:t>
      </w:r>
    </w:p>
    <w:p w14:paraId="1BE78E2D"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2.根据《企业内部控制基本规范》及其配套指引的要求，逐项判断资料（3）中各项内部控制设计是否有效，并说明理由。</w:t>
      </w:r>
    </w:p>
    <w:p w14:paraId="1D461C48"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参考答案：</w:t>
      </w:r>
    </w:p>
    <w:p w14:paraId="25B7B805"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1.资料（1），关于内部环境：</w:t>
      </w:r>
    </w:p>
    <w:p w14:paraId="141B64B2"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赞同内部控制评价工作组对没有足够的证据说明企业文化得以有效贯彻落实的判断。</w:t>
      </w:r>
      <w:r w:rsidRPr="003F219B">
        <w:rPr>
          <w:color w:val="333333"/>
        </w:rPr>
        <w:t xml:space="preserve">   </w:t>
      </w:r>
    </w:p>
    <w:p w14:paraId="79F2C213"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理由：企业文化贯彻落实的有效性应当获取充分的证据支持。</w:t>
      </w:r>
    </w:p>
    <w:p w14:paraId="710C42B1"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资料（</w:t>
      </w:r>
      <w:r w:rsidRPr="003F219B">
        <w:rPr>
          <w:color w:val="333333"/>
        </w:rPr>
        <w:t>2），关于风险评估：</w:t>
      </w:r>
    </w:p>
    <w:p w14:paraId="7E6780CD"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赞同内部控制评价工作组对公司风险评估机制存在缺陷的认定。</w:t>
      </w:r>
      <w:r w:rsidRPr="003F219B">
        <w:rPr>
          <w:color w:val="333333"/>
        </w:rPr>
        <w:t xml:space="preserve"> </w:t>
      </w:r>
    </w:p>
    <w:p w14:paraId="63C52617"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理由：公司应当对赞助和捐赠事项履行风险评估程序。</w:t>
      </w:r>
      <w:r w:rsidRPr="003F219B">
        <w:rPr>
          <w:color w:val="333333"/>
        </w:rPr>
        <w:t xml:space="preserve"> </w:t>
      </w:r>
    </w:p>
    <w:p w14:paraId="1D5336AB"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资料（</w:t>
      </w:r>
      <w:r w:rsidRPr="003F219B">
        <w:rPr>
          <w:color w:val="333333"/>
        </w:rPr>
        <w:t xml:space="preserve">4），关于信息与沟通： </w:t>
      </w:r>
    </w:p>
    <w:p w14:paraId="1C6510B2"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赞同内部控制评价工作组将所有风险信息均经由总经理向董事会报告认定为控制缺陷。</w:t>
      </w:r>
      <w:r w:rsidRPr="003F219B">
        <w:rPr>
          <w:color w:val="333333"/>
        </w:rPr>
        <w:t xml:space="preserve"> </w:t>
      </w:r>
    </w:p>
    <w:p w14:paraId="6C3E3695"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理由：重大信息应及时传递给董事会、监事会和管理层。</w:t>
      </w:r>
      <w:r w:rsidRPr="003F219B">
        <w:rPr>
          <w:color w:val="333333"/>
        </w:rPr>
        <w:t xml:space="preserve"> </w:t>
      </w:r>
    </w:p>
    <w:p w14:paraId="29C0DBA1"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资料（</w:t>
      </w:r>
      <w:r w:rsidRPr="003F219B">
        <w:rPr>
          <w:color w:val="333333"/>
        </w:rPr>
        <w:t xml:space="preserve">5），关于内部监督： </w:t>
      </w:r>
    </w:p>
    <w:p w14:paraId="66B67FBC"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赞同内部控制评价工作组对内控评价机构选择的判断。</w:t>
      </w:r>
      <w:r w:rsidRPr="003F219B">
        <w:rPr>
          <w:color w:val="333333"/>
        </w:rPr>
        <w:t xml:space="preserve"> </w:t>
      </w:r>
    </w:p>
    <w:p w14:paraId="024F3DBF"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理由：内部控制评价机构的选择不仅要考虑独立性，还要综合考虑其胜任能力和权威性，以及是否得到公司领导层的支持等。</w:t>
      </w:r>
      <w:r w:rsidRPr="003F219B">
        <w:rPr>
          <w:color w:val="333333"/>
        </w:rPr>
        <w:t xml:space="preserve"> </w:t>
      </w:r>
    </w:p>
    <w:p w14:paraId="350071D3"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 xml:space="preserve">2.资料（3），关于控制活动： </w:t>
      </w:r>
    </w:p>
    <w:p w14:paraId="6D1B7049"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 xml:space="preserve">1）资金投放环节的内部控制设计无效。 </w:t>
      </w:r>
    </w:p>
    <w:p w14:paraId="50AFA00C"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lastRenderedPageBreak/>
        <w:t>理由：大额期权期货交易应当实行集体决策或联签制度。</w:t>
      </w:r>
      <w:r w:rsidRPr="003F219B">
        <w:rPr>
          <w:color w:val="333333"/>
        </w:rPr>
        <w:t xml:space="preserve"> </w:t>
      </w:r>
    </w:p>
    <w:p w14:paraId="7C9BCC30"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 xml:space="preserve">2）资金筹集环节的内部控制设计无效。 </w:t>
      </w:r>
    </w:p>
    <w:p w14:paraId="7FF559D9"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理由：特别授权应当按照规定的权限和程序进行。</w:t>
      </w:r>
      <w:r w:rsidRPr="003F219B">
        <w:rPr>
          <w:color w:val="333333"/>
        </w:rPr>
        <w:t xml:space="preserve"> </w:t>
      </w:r>
    </w:p>
    <w:p w14:paraId="0284E953"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 xml:space="preserve">3）物资采购环节的内部控制设计无效。 </w:t>
      </w:r>
    </w:p>
    <w:p w14:paraId="3FF7C2A2"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理由：公司应当建立采购申请制度，明确相关部门和人员的职责权限及相应的请购审批程序。</w:t>
      </w:r>
      <w:r w:rsidRPr="003F219B">
        <w:rPr>
          <w:color w:val="333333"/>
        </w:rPr>
        <w:t xml:space="preserve">    </w:t>
      </w:r>
    </w:p>
    <w:p w14:paraId="1EF2A483"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 xml:space="preserve">4）资产管理环节的内部控制设计无效。 </w:t>
      </w:r>
    </w:p>
    <w:p w14:paraId="5D9DF008"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理由：公司应当对财产保险业务外包实施相应的控制。</w:t>
      </w:r>
      <w:r w:rsidRPr="003F219B">
        <w:rPr>
          <w:color w:val="333333"/>
        </w:rPr>
        <w:t xml:space="preserve"> </w:t>
      </w:r>
    </w:p>
    <w:p w14:paraId="0F0E56D3" w14:textId="77777777" w:rsidR="003F219B" w:rsidRPr="003F219B" w:rsidRDefault="003F219B" w:rsidP="003F219B">
      <w:pPr>
        <w:pStyle w:val="a3"/>
        <w:adjustRightInd w:val="0"/>
        <w:snapToGrid w:val="0"/>
        <w:spacing w:before="0" w:beforeAutospacing="0" w:after="0" w:afterAutospacing="0" w:line="360" w:lineRule="auto"/>
        <w:ind w:firstLineChars="200" w:firstLine="480"/>
        <w:jc w:val="both"/>
        <w:rPr>
          <w:color w:val="333333"/>
        </w:rPr>
      </w:pPr>
      <w:r w:rsidRPr="003F219B">
        <w:rPr>
          <w:color w:val="333333"/>
        </w:rPr>
        <w:t>5）商品销售环节的内部控制设计有效。</w:t>
      </w:r>
    </w:p>
    <w:p w14:paraId="10780CF6" w14:textId="5D0C0809" w:rsidR="006B0200" w:rsidRDefault="003F219B" w:rsidP="00C97A5C">
      <w:pPr>
        <w:pStyle w:val="a3"/>
        <w:widowControl w:val="0"/>
        <w:adjustRightInd w:val="0"/>
        <w:snapToGrid w:val="0"/>
        <w:spacing w:before="0" w:beforeAutospacing="0" w:after="0" w:afterAutospacing="0" w:line="360" w:lineRule="auto"/>
        <w:ind w:firstLineChars="200" w:firstLine="480"/>
        <w:jc w:val="both"/>
        <w:rPr>
          <w:color w:val="333333"/>
        </w:rPr>
      </w:pPr>
      <w:r w:rsidRPr="003F219B">
        <w:rPr>
          <w:rFonts w:hint="eastAsia"/>
          <w:color w:val="333333"/>
        </w:rPr>
        <w:t>理由：虽然特定商品的销售和收款未完全分离，但公司采取了必要的补偿性控制措施，符合适应性原则和成本效益原则的要求。</w:t>
      </w:r>
    </w:p>
    <w:p w14:paraId="4AF86345" w14:textId="264FD164" w:rsidR="00C97A5C" w:rsidRPr="00F01F10" w:rsidRDefault="00C97A5C" w:rsidP="00F01F10">
      <w:pPr>
        <w:pStyle w:val="3"/>
        <w:rPr>
          <w:rFonts w:ascii="黑体" w:eastAsia="黑体" w:hAnsi="黑体"/>
          <w:sz w:val="24"/>
          <w:szCs w:val="24"/>
        </w:rPr>
      </w:pPr>
      <w:bookmarkStart w:id="18" w:name="_Toc112172057"/>
      <w:r w:rsidRPr="00F01F10">
        <w:rPr>
          <w:rFonts w:ascii="黑体" w:eastAsia="黑体" w:hAnsi="黑体" w:hint="eastAsia"/>
          <w:sz w:val="24"/>
          <w:szCs w:val="24"/>
        </w:rPr>
        <w:t>案例1</w:t>
      </w:r>
      <w:r w:rsidR="00F37237">
        <w:rPr>
          <w:rFonts w:ascii="黑体" w:eastAsia="黑体" w:hAnsi="黑体"/>
          <w:sz w:val="24"/>
          <w:szCs w:val="24"/>
        </w:rPr>
        <w:t>8</w:t>
      </w:r>
      <w:r w:rsidRPr="00F01F10">
        <w:rPr>
          <w:rFonts w:ascii="黑体" w:eastAsia="黑体" w:hAnsi="黑体" w:hint="eastAsia"/>
          <w:sz w:val="24"/>
          <w:szCs w:val="24"/>
        </w:rPr>
        <w:t>：最大校企方正集团破产重组</w:t>
      </w:r>
      <w:bookmarkEnd w:id="18"/>
    </w:p>
    <w:p w14:paraId="36052C8D"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问题：</w:t>
      </w:r>
    </w:p>
    <w:p w14:paraId="7F8AF8EE"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结合以上资料，从内部环境角度分析方正集团破产重组的原因，针对完善其内部环境提出建议。</w:t>
      </w:r>
    </w:p>
    <w:p w14:paraId="117CCF41"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参考答案：</w:t>
      </w:r>
    </w:p>
    <w:p w14:paraId="7C27AFC6"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从内部环境角度来看，方正集团破产重组主要有以下原因：</w:t>
      </w:r>
    </w:p>
    <w:p w14:paraId="198F43DB"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1）股权结构不合理。方正集团成立之初由北大资产100%绝对控股，股权改制之后，北大资产名义上持股70%，但实际持股仅为35%，而管理层控制65%的股权，导致公司存在内部人控制问题。</w:t>
      </w:r>
    </w:p>
    <w:p w14:paraId="282AE507"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2）“董高监”结构失衡。方正集团在成立之初由北京大学持股100%，占据绝对控制权，并且通过委派高管实现对方正集团的掌控。其绝大多数高管在校方兼职或曾经就职，涵盖高校的校长、书记、院长、教务处长等诸多职位，整个方正集团沦为控股股东掌权的工具，导致在公司的关键性经营决策问题上校</w:t>
      </w:r>
      <w:proofErr w:type="gramStart"/>
      <w:r w:rsidRPr="00C97A5C">
        <w:rPr>
          <w:color w:val="333333"/>
        </w:rPr>
        <w:t>方具备</w:t>
      </w:r>
      <w:proofErr w:type="gramEnd"/>
      <w:r w:rsidRPr="00C97A5C">
        <w:rPr>
          <w:color w:val="333333"/>
        </w:rPr>
        <w:t>高度话语权，甚至架空了董事会。</w:t>
      </w:r>
    </w:p>
    <w:p w14:paraId="10A1076D"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3）关联交易中的利益输送。方正集团第一大股东名义上是北大资产，但其实际控制人为持股65%的管理层，这为大股东掏空提供了可能。一是控制权的掠夺，即管理层通过对“董高监”席位的占据已经掌握方正集团的实际控制</w:t>
      </w:r>
      <w:r w:rsidRPr="00C97A5C">
        <w:rPr>
          <w:color w:val="333333"/>
        </w:rPr>
        <w:lastRenderedPageBreak/>
        <w:t>权。二是资产与所有者权益的掠夺。大股东对所有者权益的掠夺具体是指通过关联贷款、关联交易、关联担保等一系列手段转移公司资源、对公司进行利益侵占。</w:t>
      </w:r>
    </w:p>
    <w:p w14:paraId="0CA697D3"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可以从以下方面完善公司的内部环境：</w:t>
      </w:r>
    </w:p>
    <w:p w14:paraId="6E1B281B"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1）约束大股东权力。当大股东持股超过一定比例时，对其表决权进行打折计算，限制其滥用表决权。</w:t>
      </w:r>
    </w:p>
    <w:p w14:paraId="22DE8554"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2）完善独立董事制度。独立董事的作用是对股东进行监督与制约，而在现行选举制度下，独立董事由股东大会选举产生，不排除大股东提名利害关系人的可能，因此建议由中小股东提名并选举独立董事，大股东回避，以保护中小股东权利，提高中小股东参与公司治理的积极性。</w:t>
      </w:r>
    </w:p>
    <w:p w14:paraId="4DADA22F"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3）完善监事会结构。目前通过股东或职工代表大会选举监事，难以保证监事的独立性，因此建议引入独立监事，但应将其与独立董事的职权划清边界，以此强化董事会、监事会的监督职能，避免内部人控制。</w:t>
      </w:r>
    </w:p>
    <w:p w14:paraId="319D2A78" w14:textId="657399E0" w:rsidR="00C97A5C" w:rsidRDefault="00C97A5C" w:rsidP="00C97A5C">
      <w:pPr>
        <w:pStyle w:val="a3"/>
        <w:widowControl w:val="0"/>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4）加强对高校控股企业的资产的监管。高校控股企业的资产游离于国资监管之外，缺乏有效监督，建议将其纳入国资监管体系或组建资产经营公司，将高校控股企业资产从学校剥离，统一划转到资产经营公司。</w:t>
      </w:r>
    </w:p>
    <w:p w14:paraId="5C7E86DB" w14:textId="044898B0" w:rsidR="00C97A5C" w:rsidRPr="00F01F10" w:rsidRDefault="00C97A5C" w:rsidP="00F01F10">
      <w:pPr>
        <w:pStyle w:val="3"/>
        <w:rPr>
          <w:rFonts w:ascii="黑体" w:eastAsia="黑体" w:hAnsi="黑体"/>
          <w:sz w:val="24"/>
          <w:szCs w:val="24"/>
        </w:rPr>
      </w:pPr>
      <w:bookmarkStart w:id="19" w:name="_Toc112172058"/>
      <w:r w:rsidRPr="00F01F10">
        <w:rPr>
          <w:rFonts w:ascii="黑体" w:eastAsia="黑体" w:hAnsi="黑体" w:hint="eastAsia"/>
          <w:sz w:val="24"/>
          <w:szCs w:val="24"/>
        </w:rPr>
        <w:t>案例1</w:t>
      </w:r>
      <w:r w:rsidR="00F37237">
        <w:rPr>
          <w:rFonts w:ascii="黑体" w:eastAsia="黑体" w:hAnsi="黑体"/>
          <w:sz w:val="24"/>
          <w:szCs w:val="24"/>
        </w:rPr>
        <w:t>9</w:t>
      </w:r>
      <w:r w:rsidRPr="00F01F10">
        <w:rPr>
          <w:rFonts w:ascii="黑体" w:eastAsia="黑体" w:hAnsi="黑体" w:hint="eastAsia"/>
          <w:sz w:val="24"/>
          <w:szCs w:val="24"/>
        </w:rPr>
        <w:t>：</w:t>
      </w:r>
      <w:r w:rsidRPr="00F01F10">
        <w:rPr>
          <w:rFonts w:ascii="黑体" w:eastAsia="黑体" w:hAnsi="黑体"/>
          <w:sz w:val="24"/>
          <w:szCs w:val="24"/>
        </w:rPr>
        <w:t>*ST众和退市</w:t>
      </w:r>
      <w:bookmarkEnd w:id="19"/>
    </w:p>
    <w:p w14:paraId="7D08611D"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问题：</w:t>
      </w:r>
    </w:p>
    <w:p w14:paraId="45828268"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结合上述资料，运用所学的知识，分析</w:t>
      </w:r>
      <w:r w:rsidRPr="00C97A5C">
        <w:rPr>
          <w:color w:val="333333"/>
        </w:rPr>
        <w:t>*ST众和存在的主要风险。</w:t>
      </w:r>
    </w:p>
    <w:p w14:paraId="3AD1A6C6"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参考答案：</w:t>
      </w:r>
    </w:p>
    <w:p w14:paraId="17F7CF5A"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 xml:space="preserve"> *ST众和存在以下主要风险： </w:t>
      </w:r>
    </w:p>
    <w:p w14:paraId="18DA65DF"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1）战略风险：2011年</w:t>
      </w:r>
      <w:proofErr w:type="gramStart"/>
      <w:r w:rsidRPr="00C97A5C">
        <w:rPr>
          <w:color w:val="333333"/>
        </w:rPr>
        <w:t>许建成</w:t>
      </w:r>
      <w:proofErr w:type="gramEnd"/>
      <w:r w:rsidRPr="00C97A5C">
        <w:rPr>
          <w:color w:val="333333"/>
        </w:rPr>
        <w:t>成为公司掌舵者后，并没有继续扶持发扬原有主业，而是进行多元化发展，大步迈入钢铁行业、新能源产业等无关行业，并且这些产业遭遇了信贷危机、股权转让问题，从而使*ST众和陷入困境。</w:t>
      </w:r>
    </w:p>
    <w:p w14:paraId="0D82DC01"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2）营运风险：主要表现为2010年以后，纺织印染主业出现滑坡，公司业绩便开始一路滑坡；2017年5月，董事长</w:t>
      </w:r>
      <w:proofErr w:type="gramStart"/>
      <w:r w:rsidRPr="00C97A5C">
        <w:rPr>
          <w:color w:val="333333"/>
        </w:rPr>
        <w:t>许建成因</w:t>
      </w:r>
      <w:proofErr w:type="gramEnd"/>
      <w:r w:rsidRPr="00C97A5C">
        <w:rPr>
          <w:color w:val="333333"/>
        </w:rPr>
        <w:t>涉嫌合同诈骗罪被逮捕后，高层频繁辞职，缺乏稳定的管理团队必然会影响公司正常的经营与决策。</w:t>
      </w:r>
      <w:r w:rsidRPr="00C97A5C">
        <w:rPr>
          <w:color w:val="333333"/>
        </w:rPr>
        <w:lastRenderedPageBreak/>
        <w:t>另外，从财务指标来看，应收账款周转天数翻倍加长，反映出公司经营资金回笼较慢。</w:t>
      </w:r>
    </w:p>
    <w:p w14:paraId="703ECA7B"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3）财务风险：高成本负债融资，且负债率很高（2017年和2018年资产负债率大于1，资不抵债），出现债务违约。新能源板块核心资产</w:t>
      </w:r>
      <w:proofErr w:type="gramStart"/>
      <w:r w:rsidRPr="00C97A5C">
        <w:rPr>
          <w:color w:val="333333"/>
        </w:rPr>
        <w:t>闽锋锂</w:t>
      </w:r>
      <w:proofErr w:type="gramEnd"/>
      <w:r w:rsidRPr="00C97A5C">
        <w:rPr>
          <w:color w:val="333333"/>
        </w:rPr>
        <w:t>业旗下的金鑫矿业2015年对外融资2亿，成本高达17%/年，出现了逾期违约，采矿权被申请执行拍卖。从财务指标来看，公司于2015年出现了上市以来首度亏损，此后几年亦持续亏损，未能扭亏为盈。2015年至2017年，公司归属于母公司所有者的净利润均为负值，且亏损不断加剧；偿债能力指标反映出公司的流动比率、速动比率、保守速动比率明显下降，经营活动现金流量净额／流动负债2018年度</w:t>
      </w:r>
      <w:r w:rsidRPr="00C97A5C">
        <w:rPr>
          <w:rFonts w:hint="eastAsia"/>
          <w:color w:val="333333"/>
        </w:rPr>
        <w:t>甚至为负值。</w:t>
      </w:r>
    </w:p>
    <w:p w14:paraId="33EAD2C3"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4）市场风险：受到经营连续亏损、董事长被逮捕等诸多因素的影响，公司股票价格大幅下跌，市值严重缩水。截至2018年5月停牌前，公司股价定格在3.92元/股，相比2016年6月的高位，累计跌幅已超85%；相较于巅峰时的近200亿元市值，如今市值仅剩24.9亿元。</w:t>
      </w:r>
    </w:p>
    <w:p w14:paraId="52A442E7" w14:textId="77777777" w:rsidR="00C97A5C" w:rsidRPr="00F01F10" w:rsidRDefault="00C97A5C" w:rsidP="00C97A5C">
      <w:pPr>
        <w:pStyle w:val="a3"/>
        <w:adjustRightInd w:val="0"/>
        <w:snapToGrid w:val="0"/>
        <w:spacing w:before="0" w:beforeAutospacing="0" w:after="0" w:afterAutospacing="0" w:line="360" w:lineRule="auto"/>
        <w:ind w:firstLineChars="200" w:firstLine="480"/>
      </w:pPr>
      <w:r w:rsidRPr="00C97A5C">
        <w:rPr>
          <w:rFonts w:hint="eastAsia"/>
          <w:color w:val="333333"/>
        </w:rPr>
        <w:t>（</w:t>
      </w:r>
      <w:r w:rsidRPr="00C97A5C">
        <w:rPr>
          <w:color w:val="333333"/>
        </w:rPr>
        <w:t>5）法律风险：因2016年和2017年部分定期报告存在虚假记载、未及时披露未能清偿到期重大债务、主要资产被查封、订立转让子公司股权的重要合同、公司董事长</w:t>
      </w:r>
      <w:proofErr w:type="gramStart"/>
      <w:r w:rsidRPr="00F01F10">
        <w:t>许建成</w:t>
      </w:r>
      <w:proofErr w:type="gramEnd"/>
      <w:r w:rsidRPr="00F01F10">
        <w:t>被司法机关采取强制措施等事项，2018年5月30日，福建证监局下发《行政处罚决定书》。董事长</w:t>
      </w:r>
      <w:proofErr w:type="gramStart"/>
      <w:r w:rsidRPr="00F01F10">
        <w:t>许建成</w:t>
      </w:r>
      <w:proofErr w:type="gramEnd"/>
      <w:r w:rsidRPr="00F01F10">
        <w:t>涉嫌合同诈骗、挪用资金被逮捕，法院公开审理；因公司涉嫌信息披露违法违规，证监会决定对</w:t>
      </w:r>
      <w:proofErr w:type="gramStart"/>
      <w:r w:rsidRPr="00F01F10">
        <w:t>许建成</w:t>
      </w:r>
      <w:proofErr w:type="gramEnd"/>
      <w:r w:rsidRPr="00F01F10">
        <w:t>开展调查。</w:t>
      </w:r>
    </w:p>
    <w:p w14:paraId="1706BF09" w14:textId="65D43E2A" w:rsidR="00C97A5C" w:rsidRPr="00F01F10" w:rsidRDefault="00C97A5C" w:rsidP="00F01F10">
      <w:pPr>
        <w:pStyle w:val="3"/>
        <w:rPr>
          <w:rFonts w:ascii="黑体" w:eastAsia="黑体" w:hAnsi="黑体"/>
          <w:sz w:val="24"/>
          <w:szCs w:val="24"/>
        </w:rPr>
      </w:pPr>
      <w:bookmarkStart w:id="20" w:name="_Toc112172059"/>
      <w:r w:rsidRPr="00F01F10">
        <w:rPr>
          <w:rFonts w:ascii="黑体" w:eastAsia="黑体" w:hAnsi="黑体" w:hint="eastAsia"/>
          <w:sz w:val="24"/>
          <w:szCs w:val="24"/>
        </w:rPr>
        <w:t>案例</w:t>
      </w:r>
      <w:r w:rsidR="00F37237">
        <w:rPr>
          <w:rFonts w:ascii="黑体" w:eastAsia="黑体" w:hAnsi="黑体"/>
          <w:sz w:val="24"/>
          <w:szCs w:val="24"/>
        </w:rPr>
        <w:t>20</w:t>
      </w:r>
      <w:r w:rsidRPr="00F01F10">
        <w:rPr>
          <w:rFonts w:ascii="黑体" w:eastAsia="黑体" w:hAnsi="黑体" w:hint="eastAsia"/>
          <w:sz w:val="24"/>
          <w:szCs w:val="24"/>
        </w:rPr>
        <w:t>：风险矩阵在</w:t>
      </w:r>
      <w:r w:rsidRPr="00F01F10">
        <w:rPr>
          <w:rFonts w:ascii="黑体" w:eastAsia="黑体" w:hAnsi="黑体"/>
          <w:sz w:val="24"/>
          <w:szCs w:val="24"/>
        </w:rPr>
        <w:t>A油库油品质量风险分析中的应用</w:t>
      </w:r>
      <w:bookmarkEnd w:id="20"/>
    </w:p>
    <w:p w14:paraId="78DB6806"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问题：</w:t>
      </w:r>
    </w:p>
    <w:p w14:paraId="1432B162"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1.风险矩阵的基本原理是什么？</w:t>
      </w:r>
    </w:p>
    <w:p w14:paraId="77CBB22C"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2.A油库是如何应用风险矩阵分析油品质</w:t>
      </w:r>
      <w:proofErr w:type="gramStart"/>
      <w:r w:rsidRPr="00C97A5C">
        <w:rPr>
          <w:color w:val="333333"/>
        </w:rPr>
        <w:t>量风险</w:t>
      </w:r>
      <w:proofErr w:type="gramEnd"/>
      <w:r w:rsidRPr="00C97A5C">
        <w:rPr>
          <w:color w:val="333333"/>
        </w:rPr>
        <w:t>的？</w:t>
      </w:r>
    </w:p>
    <w:p w14:paraId="5C7F3D51"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参考答案：</w:t>
      </w:r>
    </w:p>
    <w:p w14:paraId="186025AB"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1.风险矩阵，是指按照风险发生的可能性和风险发生后果的严重程度，将风险绘制在矩阵图中，展示风险及其重要性等级的风险管理工具方法。风险矩</w:t>
      </w:r>
      <w:r w:rsidRPr="00C97A5C">
        <w:rPr>
          <w:color w:val="333333"/>
        </w:rPr>
        <w:lastRenderedPageBreak/>
        <w:t>阵的基本原理是，根据企业风险偏好，判断并度量风险发生可能性和后果严重程度，计算风险值，以此作为主要依据在矩阵中描绘出风险重要性等级。</w:t>
      </w:r>
    </w:p>
    <w:p w14:paraId="3B91D169"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2.应用风险矩阵的主要步骤有：确定风险发生的可能性和影响程度的评估标准；确定风险重要性等级标准；绘制风险矩阵；沟通报告风险信息；持续修订风险矩阵。</w:t>
      </w:r>
    </w:p>
    <w:p w14:paraId="1EE31EDD" w14:textId="3324E59A" w:rsidR="00C97A5C" w:rsidRDefault="00C97A5C" w:rsidP="00C97A5C">
      <w:pPr>
        <w:pStyle w:val="a3"/>
        <w:widowControl w:val="0"/>
        <w:adjustRightInd w:val="0"/>
        <w:snapToGrid w:val="0"/>
        <w:spacing w:before="0" w:beforeAutospacing="0" w:after="0" w:afterAutospacing="0" w:line="360" w:lineRule="auto"/>
        <w:ind w:firstLineChars="200" w:firstLine="480"/>
        <w:jc w:val="both"/>
        <w:rPr>
          <w:color w:val="333333"/>
        </w:rPr>
      </w:pPr>
      <w:r w:rsidRPr="00C97A5C">
        <w:rPr>
          <w:color w:val="333333"/>
        </w:rPr>
        <w:t>A油库在根据风险初始信息，最终识别出各</w:t>
      </w:r>
      <w:proofErr w:type="gramStart"/>
      <w:r w:rsidRPr="00C97A5C">
        <w:rPr>
          <w:color w:val="333333"/>
        </w:rPr>
        <w:t>类各项油品质量风险</w:t>
      </w:r>
      <w:proofErr w:type="gramEnd"/>
      <w:r w:rsidRPr="00C97A5C">
        <w:rPr>
          <w:color w:val="333333"/>
        </w:rPr>
        <w:t>的情况下，综合考虑风险影响和风险概率两方面的因素，运用风险矩阵分析风险。首先，确定油品质</w:t>
      </w:r>
      <w:proofErr w:type="gramStart"/>
      <w:r w:rsidRPr="00C97A5C">
        <w:rPr>
          <w:color w:val="333333"/>
        </w:rPr>
        <w:t>量事件</w:t>
      </w:r>
      <w:proofErr w:type="gramEnd"/>
      <w:r w:rsidRPr="00C97A5C">
        <w:rPr>
          <w:color w:val="333333"/>
        </w:rPr>
        <w:t>发生的可能性分级和质量事件后果的严重程度分级；其次，计算质量风险值；再次，依据制定的质量风险等级，确定各项风险的等级；最后，对于不同等级的风险采取不同的风险控制措施，将剩余风险控制在可接受水平。</w:t>
      </w:r>
    </w:p>
    <w:p w14:paraId="351D86CC" w14:textId="58430835" w:rsidR="00C97A5C" w:rsidRPr="00F01F10" w:rsidRDefault="00C97A5C" w:rsidP="00F01F10">
      <w:pPr>
        <w:pStyle w:val="3"/>
        <w:rPr>
          <w:rFonts w:ascii="黑体" w:eastAsia="黑体" w:hAnsi="黑体"/>
          <w:sz w:val="24"/>
          <w:szCs w:val="24"/>
        </w:rPr>
      </w:pPr>
      <w:bookmarkStart w:id="21" w:name="_Toc112172060"/>
      <w:r w:rsidRPr="00F01F10">
        <w:rPr>
          <w:rFonts w:ascii="黑体" w:eastAsia="黑体" w:hAnsi="黑体" w:hint="eastAsia"/>
          <w:sz w:val="24"/>
          <w:szCs w:val="24"/>
        </w:rPr>
        <w:t>案例</w:t>
      </w:r>
      <w:r w:rsidR="00F37237">
        <w:rPr>
          <w:rFonts w:ascii="黑体" w:eastAsia="黑体" w:hAnsi="黑体"/>
          <w:sz w:val="24"/>
          <w:szCs w:val="24"/>
        </w:rPr>
        <w:t>21</w:t>
      </w:r>
      <w:r w:rsidRPr="00F01F10">
        <w:rPr>
          <w:rFonts w:ascii="黑体" w:eastAsia="黑体" w:hAnsi="黑体" w:hint="eastAsia"/>
          <w:sz w:val="24"/>
          <w:szCs w:val="24"/>
        </w:rPr>
        <w:t>：百年秋林黯然退场</w:t>
      </w:r>
      <w:bookmarkEnd w:id="21"/>
    </w:p>
    <w:p w14:paraId="48C900FF"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问题：</w:t>
      </w:r>
    </w:p>
    <w:p w14:paraId="62381C03"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1.结合本案例，运用所学的知识，分析秋林集团面临的主要风险。</w:t>
      </w:r>
    </w:p>
    <w:p w14:paraId="1D979614"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2.秋林集团由盛至衰的历程，对其他企业应对风险有何启示？</w:t>
      </w:r>
    </w:p>
    <w:p w14:paraId="5B6541D3"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参考答案：</w:t>
      </w:r>
    </w:p>
    <w:p w14:paraId="569B1D35"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 xml:space="preserve">1.秋林集团面临的主要风险如下。 </w:t>
      </w:r>
    </w:p>
    <w:p w14:paraId="17BC6721"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战略风险：无关多元化战略。秋林集团的原有主营业务是百货零售、食品生产与销售，后来新增黄金制品、珠宝首饰的设计、加工和批发业务。但在引进黄金业务之后，两大主营业务经营规模不增反降。除此之外，秋林集团新增的业务还包括小额贷款、广告、经济贸易等，这些业务与主业无关，给秋林集团增加了不小的负担。</w:t>
      </w:r>
    </w:p>
    <w:p w14:paraId="31CD0D8B"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财务风险：高负债经营，亏损严重，债务违约。秋林集团未能按时偿付“</w:t>
      </w:r>
      <w:r w:rsidRPr="00C97A5C">
        <w:rPr>
          <w:color w:val="333333"/>
        </w:rPr>
        <w:t>16秋林01”及“16秋林02”当期回售本金及应付利息，造成“16秋林01”和“16秋林02”违约。2019年受正副董事长失联、黄金事业部经营停滞等因素影响，暂无法按时兑付“18秋林01”债券利息，构成实质违约。</w:t>
      </w:r>
    </w:p>
    <w:p w14:paraId="228D5BF3"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运营风险：职责分工和制衡机制失效，承担连带担保责任，伪造公章，经营业务停滞。黄金事业部由董事长直接管理，公司董事长、副董事长超过董事会授权参与了子公司经营、合同签订、存货收发、款项收回等，职责分工和制</w:t>
      </w:r>
      <w:r w:rsidRPr="00C97A5C">
        <w:rPr>
          <w:rFonts w:hint="eastAsia"/>
          <w:color w:val="333333"/>
        </w:rPr>
        <w:lastRenderedPageBreak/>
        <w:t>衡机制失效，致使期末应收账款回款的可能性和存货的保管出现重大风险，为此计提巨额资产减值损失。后来，董事长、副董事长失联，黄金事业部下</w:t>
      </w:r>
      <w:proofErr w:type="gramStart"/>
      <w:r w:rsidRPr="00C97A5C">
        <w:rPr>
          <w:rFonts w:hint="eastAsia"/>
          <w:color w:val="333333"/>
        </w:rPr>
        <w:t>辖</w:t>
      </w:r>
      <w:proofErr w:type="gramEnd"/>
      <w:r w:rsidRPr="00C97A5C">
        <w:rPr>
          <w:rFonts w:hint="eastAsia"/>
          <w:color w:val="333333"/>
        </w:rPr>
        <w:t>公司经营状态基本停滞。</w:t>
      </w:r>
    </w:p>
    <w:p w14:paraId="240D3393"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法律风险：股权和资产被查封和冻结，涉及的诉讼较多且诉讼结果具有不确定性。</w:t>
      </w:r>
      <w:r w:rsidRPr="00C97A5C">
        <w:rPr>
          <w:color w:val="333333"/>
        </w:rPr>
        <w:t>2020年年报指出，受债务逾期、诉讼及执行案件的影响，秋林集团资产及持有的子公司股权和资产被查封和冻结，且目前涉及的诉讼较多，诉讼结果具有不确定性，如出现不利于公司的生效判决或公司资产被法院强制执行，有可能影响秋林集团的持续经营能力。</w:t>
      </w:r>
    </w:p>
    <w:p w14:paraId="29804E05"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color w:val="333333"/>
        </w:rPr>
        <w:t>2.秋林集团由盛至衰的历程，对其他企业的启示如下。</w:t>
      </w:r>
    </w:p>
    <w:p w14:paraId="3A3DD176"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1）增强公司管理者与员工的风险意识。</w:t>
      </w:r>
    </w:p>
    <w:p w14:paraId="709965D2"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2）根据公司内外部环境变化，调整与选择公司战略，重点发展主业。</w:t>
      </w:r>
    </w:p>
    <w:p w14:paraId="47E40DD8"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3）加强风险评估，让风险识别、风险分析、风险应对落到实处。</w:t>
      </w:r>
    </w:p>
    <w:p w14:paraId="298906CF" w14:textId="12F3E852" w:rsidR="00C97A5C" w:rsidRDefault="00C97A5C" w:rsidP="00C97A5C">
      <w:pPr>
        <w:pStyle w:val="a3"/>
        <w:widowControl w:val="0"/>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4）发挥内部审计与审计委员会的监督功能，防止内部人控制问题。</w:t>
      </w:r>
    </w:p>
    <w:p w14:paraId="16412994"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Pr>
          <w:rFonts w:hint="eastAsia"/>
          <w:color w:val="333333"/>
        </w:rPr>
        <w:t>案例2</w:t>
      </w:r>
      <w:r>
        <w:rPr>
          <w:color w:val="333333"/>
        </w:rPr>
        <w:t>0</w:t>
      </w:r>
      <w:r>
        <w:rPr>
          <w:rFonts w:hint="eastAsia"/>
          <w:color w:val="333333"/>
        </w:rPr>
        <w:t>：</w:t>
      </w:r>
      <w:r w:rsidRPr="00C97A5C">
        <w:rPr>
          <w:rFonts w:hint="eastAsia"/>
          <w:color w:val="333333"/>
        </w:rPr>
        <w:t>杰克公司的内部控制出错</w:t>
      </w:r>
    </w:p>
    <w:p w14:paraId="5CE4C245"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问题：</w:t>
      </w:r>
    </w:p>
    <w:p w14:paraId="4EFDB10D"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从内部控制活动的角度分析杰克公司在内部控制过程中存在哪些问题，应该采取哪些措施？</w:t>
      </w:r>
    </w:p>
    <w:p w14:paraId="757E0D58"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参考答案：</w:t>
      </w:r>
    </w:p>
    <w:p w14:paraId="7FD2F010"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1）没有很好地实行不相容职务分离控制和授权审批控制活动。</w:t>
      </w:r>
    </w:p>
    <w:p w14:paraId="5A5082D5"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杰克公司将财务印鉴和行政印鉴合并，统一由行政人员保管，不符合不相容职务相分离原则。而出纳李敏正是利用了行政人员疏于监督的漏洞，未经任何授权，开具了现金支票。</w:t>
      </w:r>
    </w:p>
    <w:p w14:paraId="5DB80A4E"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为此，杰克公司应指派专门人员分别保管财务印鉴和行政印鉴，并进一步明确两种印鉴的使用授权，不给别有用心之人以可乘之机。</w:t>
      </w:r>
    </w:p>
    <w:p w14:paraId="787045DF"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2）会计系统控制存在漏洞。</w:t>
      </w:r>
    </w:p>
    <w:p w14:paraId="06357FAA"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李敏是一名出纳人员，其主要职责是办理货币资金和各种票据的收入，保证经手的货币资金和票据的安全与完整；审核原始凭证，填制现金日记账和银行存款日记账，且保证日清月结。然而，李敏却能隐匿</w:t>
      </w:r>
      <w:r w:rsidRPr="00C97A5C">
        <w:rPr>
          <w:color w:val="333333"/>
        </w:rPr>
        <w:t>3笔结汇收入和7笔会计开好的收汇转账单（记账联），将其提现的金额与其隐匿的收入相抵，使32</w:t>
      </w:r>
      <w:r w:rsidRPr="00C97A5C">
        <w:rPr>
          <w:color w:val="333333"/>
        </w:rPr>
        <w:lastRenderedPageBreak/>
        <w:t>笔收支业务均未在银行存款日记账和银行余额调节表中反映。这反映出杰克公司的会计文件和凭证控制存在重大漏洞。</w:t>
      </w:r>
    </w:p>
    <w:p w14:paraId="4D6F55C7"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同时，由于出纳人员直接与货币打交道，除了要有过硬的出纳业务知识以外，还必须具备良好的财经法纪素养和职业道德修养。李敏能在一年半作案</w:t>
      </w:r>
      <w:r w:rsidRPr="00C97A5C">
        <w:rPr>
          <w:color w:val="333333"/>
        </w:rPr>
        <w:t>22次，贪污巨款，反映出杰克公司在组织和人员控制方面存在很大欠缺。</w:t>
      </w:r>
    </w:p>
    <w:p w14:paraId="433A95E6"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为此，杰克公司应通过不相容职务分离控制以防</w:t>
      </w:r>
      <w:proofErr w:type="gramStart"/>
      <w:r w:rsidRPr="00C97A5C">
        <w:rPr>
          <w:rFonts w:hint="eastAsia"/>
          <w:color w:val="333333"/>
        </w:rPr>
        <w:t>弊</w:t>
      </w:r>
      <w:proofErr w:type="gramEnd"/>
      <w:r w:rsidRPr="00C97A5C">
        <w:rPr>
          <w:rFonts w:hint="eastAsia"/>
          <w:color w:val="333333"/>
        </w:rPr>
        <w:t>查错，保护企业资产的安全、完整；通过每项业务的处理程序、各环节的职责分工、审批稽核手续、业务处理手续等过程，做到证</w:t>
      </w:r>
      <w:proofErr w:type="gramStart"/>
      <w:r w:rsidRPr="00C97A5C">
        <w:rPr>
          <w:rFonts w:hint="eastAsia"/>
          <w:color w:val="333333"/>
        </w:rPr>
        <w:t>证</w:t>
      </w:r>
      <w:proofErr w:type="gramEnd"/>
      <w:r w:rsidRPr="00C97A5C">
        <w:rPr>
          <w:rFonts w:hint="eastAsia"/>
          <w:color w:val="333333"/>
        </w:rPr>
        <w:t>、账证、账</w:t>
      </w:r>
      <w:proofErr w:type="gramStart"/>
      <w:r w:rsidRPr="00C97A5C">
        <w:rPr>
          <w:rFonts w:hint="eastAsia"/>
          <w:color w:val="333333"/>
        </w:rPr>
        <w:t>账</w:t>
      </w:r>
      <w:proofErr w:type="gramEnd"/>
      <w:r w:rsidRPr="00C97A5C">
        <w:rPr>
          <w:rFonts w:hint="eastAsia"/>
          <w:color w:val="333333"/>
        </w:rPr>
        <w:t>、账表、账实相符，促使各业务部门和人员建立有机的协作关系和制约关系。尤其应加强会计复核控制，会计复核工作应由具有一定会计专业知识、熟悉业务、责任心强、坚持原则的人员担任。复核人员必须对会计凭证、会计账簿、财务会计报表和所附单据认真审查，逐笔复核，复核过的凭证</w:t>
      </w:r>
      <w:proofErr w:type="gramStart"/>
      <w:r w:rsidRPr="00C97A5C">
        <w:rPr>
          <w:rFonts w:hint="eastAsia"/>
          <w:color w:val="333333"/>
        </w:rPr>
        <w:t>及账表</w:t>
      </w:r>
      <w:proofErr w:type="gramEnd"/>
      <w:r w:rsidRPr="00C97A5C">
        <w:rPr>
          <w:rFonts w:hint="eastAsia"/>
          <w:color w:val="333333"/>
        </w:rPr>
        <w:t>应加盖名章。</w:t>
      </w:r>
    </w:p>
    <w:p w14:paraId="399573E5"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3）财产保护控制活动薄弱。</w:t>
      </w:r>
    </w:p>
    <w:p w14:paraId="358BDBC7"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李敏能藏匿、伪造会计凭证和会计凭证，贪污巨款，反映出杰克公司在财产保护控制方面比较薄弱。</w:t>
      </w:r>
    </w:p>
    <w:p w14:paraId="517B34FD"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为此，杰克公司应该制定政策完善对会计凭证等文件的保管和审查，并设置专门的监督岗位来进行监督。尤其需加强对货币资金安全的保护。现金做到日清月结，如出现差错要及时查清，特殊情况要及时向领导汇报；库存现金日记账应与库存现金总账余额定期核对相符；严禁未经授权的机构或人员办理货币资金业务或接触货币业务；各单位不得由一个人办理货币资金收支全过程，不能由一个人保管所有的银行预留印鉴。</w:t>
      </w:r>
    </w:p>
    <w:p w14:paraId="400E2989" w14:textId="17CF3430" w:rsidR="00C97A5C" w:rsidRPr="00F01F10" w:rsidRDefault="00C97A5C" w:rsidP="00F01F10">
      <w:pPr>
        <w:pStyle w:val="3"/>
        <w:rPr>
          <w:rFonts w:ascii="黑体" w:eastAsia="黑体" w:hAnsi="黑体"/>
          <w:sz w:val="24"/>
          <w:szCs w:val="24"/>
        </w:rPr>
      </w:pPr>
      <w:bookmarkStart w:id="22" w:name="_Toc112172061"/>
      <w:r w:rsidRPr="00F01F10">
        <w:rPr>
          <w:rFonts w:ascii="黑体" w:eastAsia="黑体" w:hAnsi="黑体" w:hint="eastAsia"/>
          <w:sz w:val="24"/>
          <w:szCs w:val="24"/>
        </w:rPr>
        <w:t>案例</w:t>
      </w:r>
      <w:r w:rsidR="00F37237">
        <w:rPr>
          <w:rFonts w:ascii="黑体" w:eastAsia="黑体" w:hAnsi="黑体"/>
          <w:sz w:val="24"/>
          <w:szCs w:val="24"/>
        </w:rPr>
        <w:t>22</w:t>
      </w:r>
      <w:r w:rsidRPr="00F01F10">
        <w:rPr>
          <w:rFonts w:ascii="黑体" w:eastAsia="黑体" w:hAnsi="黑体" w:hint="eastAsia"/>
          <w:sz w:val="24"/>
          <w:szCs w:val="24"/>
        </w:rPr>
        <w:t>：</w:t>
      </w:r>
      <w:r w:rsidRPr="00F01F10">
        <w:rPr>
          <w:rFonts w:ascii="黑体" w:eastAsia="黑体" w:hAnsi="黑体"/>
          <w:sz w:val="24"/>
          <w:szCs w:val="24"/>
        </w:rPr>
        <w:t>Y集团股份有限公司的内部控制出错</w:t>
      </w:r>
      <w:bookmarkEnd w:id="22"/>
    </w:p>
    <w:p w14:paraId="7A5C42B6"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问题：</w:t>
      </w:r>
    </w:p>
    <w:p w14:paraId="40782712"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指出该公司的内部控制存在的缺陷，并说明理由。</w:t>
      </w:r>
    </w:p>
    <w:p w14:paraId="5C7FA731"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参考答案：</w:t>
      </w:r>
    </w:p>
    <w:p w14:paraId="283DF1D9"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1）货币资金管理方面。1）“未列入预算的其他财务开支均由总裁审批”不正确，对于未列入预算的其他财务开支，必须给总裁设定一定的审批权限，超过权限的，必须由董事会集体决策审批。2）由出纳编制银行存款余额调</w:t>
      </w:r>
      <w:r w:rsidRPr="00C97A5C">
        <w:rPr>
          <w:color w:val="333333"/>
        </w:rPr>
        <w:lastRenderedPageBreak/>
        <w:t>节表，属于不相容职务未分离，应建议银行存款余额调节表由出纳外的会计人员编制。</w:t>
      </w:r>
    </w:p>
    <w:p w14:paraId="6B73CCA6"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2）筹资业务方面。“公司财会部门负责拟订筹资方案，由总裁进行筹资决策”，存在不足。公司应当建立筹资方案的集体决策制度。一般筹资方案可由授权的相关部门或人员在职责权限范围内批准；重大筹资方案应当实行集体审议联签。</w:t>
      </w:r>
    </w:p>
    <w:p w14:paraId="547EECB2"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3）材料采购方面。1）公司应加快原始单据的传递以保证财务信息的及时性；平时对料到单未到的材料也</w:t>
      </w:r>
      <w:proofErr w:type="gramStart"/>
      <w:r w:rsidRPr="00C97A5C">
        <w:rPr>
          <w:color w:val="333333"/>
        </w:rPr>
        <w:t>予以暂估入账</w:t>
      </w:r>
      <w:proofErr w:type="gramEnd"/>
      <w:r w:rsidRPr="00C97A5C">
        <w:rPr>
          <w:color w:val="333333"/>
        </w:rPr>
        <w:t>，加强财务对实物的控制。2）“对于重要和技术性较强的采购业务，由公司总裁做出决策”存在缺陷，对于重要和技术性较强的采购业务，应当组织专家进行论证，实行集体决策和审批，防止出现决策失误，造成严重损失。</w:t>
      </w:r>
    </w:p>
    <w:p w14:paraId="244B5430"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4）销售与收款业务方面。1）“为了增加销售过程中的灵活性，在折扣、付款方面给予销售业务人员比较大的权限”存在缺陷，容易产生销售环节的舞弊。公司应当建立销售定价控制制度，制定价目表、折扣政策、付款政策等并予以执行。2）允许销售业务人员单独进行销售谈判，不够合理。谈判人员至少应有两人以上，并与订立合同的人员相分离。销售谈判的全过程应有完整的书面记录。3）特殊的重要销售业务由总裁一人做出决策不够合理，对于超过单位既定销售政策和信用政策规定范围的特殊销售业务，公司应当进行集体决策，防止决策失误，造成严重损失。</w:t>
      </w:r>
    </w:p>
    <w:p w14:paraId="78E98203" w14:textId="77777777" w:rsidR="00C97A5C" w:rsidRPr="00C97A5C" w:rsidRDefault="00C97A5C" w:rsidP="00C97A5C">
      <w:pPr>
        <w:pStyle w:val="a3"/>
        <w:adjustRightInd w:val="0"/>
        <w:snapToGrid w:val="0"/>
        <w:spacing w:before="0" w:beforeAutospacing="0" w:after="0" w:afterAutospacing="0" w:line="360" w:lineRule="auto"/>
        <w:ind w:firstLineChars="200" w:firstLine="480"/>
        <w:rPr>
          <w:color w:val="333333"/>
        </w:rPr>
      </w:pPr>
      <w:r w:rsidRPr="00C97A5C">
        <w:rPr>
          <w:rFonts w:hint="eastAsia"/>
          <w:color w:val="333333"/>
        </w:rPr>
        <w:t>（</w:t>
      </w:r>
      <w:r w:rsidRPr="00C97A5C">
        <w:rPr>
          <w:color w:val="333333"/>
        </w:rPr>
        <w:t>5）预算管理方面。1）“公司财务会计部作为预算管理部门，负责预算的编制（含预算调整）和预算考核”存在严重缺陷。财务会计部作为预算管理部门，不是负责预算的编制，而是主要负责组织编制、审议、平衡预算草案并报单</w:t>
      </w:r>
      <w:proofErr w:type="gramStart"/>
      <w:r w:rsidRPr="00C97A5C">
        <w:rPr>
          <w:color w:val="333333"/>
        </w:rPr>
        <w:t>位最高</w:t>
      </w:r>
      <w:proofErr w:type="gramEnd"/>
      <w:r w:rsidRPr="00C97A5C">
        <w:rPr>
          <w:color w:val="333333"/>
        </w:rPr>
        <w:t>权力机构审批；组织下达预算；协调、解决预算编制和执行中的问题；考核预算执行情况，督促完成预算目标。预算的编制需要全员参与，内部生产、投资、筹资、物资管理、人力资源、市场营销等职能部门具体负责本部门业务预算的编制、执行、控制、分析等工作，并配合预算管理部门做好公司总预算的综合平衡、控制、分析、考核等工</w:t>
      </w:r>
      <w:r w:rsidRPr="00C97A5C">
        <w:rPr>
          <w:rFonts w:hint="eastAsia"/>
          <w:color w:val="333333"/>
        </w:rPr>
        <w:t>作。</w:t>
      </w:r>
      <w:r w:rsidRPr="00C97A5C">
        <w:rPr>
          <w:color w:val="333333"/>
        </w:rPr>
        <w:t>2）“公司综合办公室负责预算的审批，各业务部门负责预算的执行”存在严重缺陷。公司股东大会（股东会）或类似最高权力机构负责审批单位年度预算方案，而不应由综合办公室进行审批。</w:t>
      </w:r>
    </w:p>
    <w:p w14:paraId="37FD2F9C" w14:textId="4D75EE3B" w:rsidR="00C97A5C" w:rsidRPr="00C97A5C" w:rsidRDefault="00C97A5C" w:rsidP="00C97A5C">
      <w:pPr>
        <w:pStyle w:val="a3"/>
        <w:widowControl w:val="0"/>
        <w:adjustRightInd w:val="0"/>
        <w:snapToGrid w:val="0"/>
        <w:spacing w:before="0" w:beforeAutospacing="0" w:after="0" w:afterAutospacing="0" w:line="360" w:lineRule="auto"/>
        <w:jc w:val="both"/>
        <w:rPr>
          <w:color w:val="333333"/>
        </w:rPr>
      </w:pPr>
      <w:r>
        <w:rPr>
          <w:rFonts w:hint="eastAsia"/>
          <w:color w:val="333333"/>
        </w:rPr>
        <w:lastRenderedPageBreak/>
        <w:t>案例2</w:t>
      </w:r>
      <w:r>
        <w:rPr>
          <w:color w:val="333333"/>
        </w:rPr>
        <w:t>2</w:t>
      </w:r>
      <w:r>
        <w:rPr>
          <w:rFonts w:hint="eastAsia"/>
          <w:color w:val="333333"/>
        </w:rPr>
        <w:t>：</w:t>
      </w:r>
      <w:r w:rsidRPr="00C97A5C">
        <w:rPr>
          <w:rFonts w:hint="eastAsia"/>
          <w:color w:val="333333"/>
        </w:rPr>
        <w:t>南风集团的财务报告内部控制</w:t>
      </w:r>
    </w:p>
    <w:p w14:paraId="0718565B" w14:textId="77777777" w:rsidR="00C97A5C" w:rsidRPr="00C97A5C" w:rsidRDefault="00C97A5C" w:rsidP="00C97A5C">
      <w:pPr>
        <w:pStyle w:val="a3"/>
        <w:adjustRightInd w:val="0"/>
        <w:snapToGrid w:val="0"/>
        <w:spacing w:before="0" w:beforeAutospacing="0" w:after="0" w:afterAutospacing="0" w:line="360" w:lineRule="auto"/>
        <w:jc w:val="both"/>
        <w:rPr>
          <w:color w:val="333333"/>
        </w:rPr>
      </w:pPr>
      <w:r w:rsidRPr="00C97A5C">
        <w:rPr>
          <w:rFonts w:hint="eastAsia"/>
          <w:color w:val="333333"/>
        </w:rPr>
        <w:t>问题：</w:t>
      </w:r>
    </w:p>
    <w:p w14:paraId="4BB59D00"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从财务报告内部控制角度，分析上述材料中南风集团存在的风险点并提出相关的应对措施。</w:t>
      </w:r>
    </w:p>
    <w:p w14:paraId="1154EED5"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参考答案：</w:t>
      </w:r>
    </w:p>
    <w:p w14:paraId="025B0F17"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上述材料中南风集团共存在三个风险点：</w:t>
      </w:r>
    </w:p>
    <w:p w14:paraId="7A5E912F"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1）南风集团未在财务报告中按规定披露重大关联交易，在编制财务报告阶段存在报表附注内容不完善、误导财务报告使用者的风险。该风险的主要控制措施是：企业应按照岗位分工和规定的程序编制财务报告，按照国家统一的会计准则编制附注；财会部门负责人审核报表内容和种类的真实性、完整性，通过后予以上报。</w:t>
      </w:r>
    </w:p>
    <w:p w14:paraId="18F4C23F"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2）南风集团通过虚构销售交易增加营业收入，在结账时存在虚增营业收入、多列营业成本的风险。该风险的主要控制措施是：检查相关账务处理是否符合国家统一的会计准则制度和企业制定的核算方法的要求；调整有关账项，合理确定本期应计的收入和应计的费用；检查是否存在因会计差错、会计政策变更等需要调整的前期或者本期相关项目。</w:t>
      </w:r>
    </w:p>
    <w:p w14:paraId="00CCB359"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3）南风集团在对外提供财务报告前，存在合作的会计师事务所不符合相关法律法规规定的风险。该风险的主要控制措施是：企业应根据相关法律法规的规定，选择符合资质的会计师事务所对财务报告进行审计，在审计工作过程中不得干扰审计人员的正常工作，并应对审计意见予以落实。</w:t>
      </w:r>
    </w:p>
    <w:p w14:paraId="1CCE5E48" w14:textId="65662D63" w:rsidR="00C97A5C" w:rsidRPr="00F01F10" w:rsidRDefault="004D4F7E" w:rsidP="00F01F10">
      <w:pPr>
        <w:pStyle w:val="3"/>
        <w:rPr>
          <w:rFonts w:ascii="黑体" w:eastAsia="黑体" w:hAnsi="黑体"/>
          <w:sz w:val="24"/>
          <w:szCs w:val="24"/>
        </w:rPr>
      </w:pPr>
      <w:bookmarkStart w:id="23" w:name="_Toc112172062"/>
      <w:r w:rsidRPr="00F01F10">
        <w:rPr>
          <w:rFonts w:ascii="黑体" w:eastAsia="黑体" w:hAnsi="黑体" w:hint="eastAsia"/>
          <w:sz w:val="24"/>
          <w:szCs w:val="24"/>
        </w:rPr>
        <w:t>案例2</w:t>
      </w:r>
      <w:r w:rsidRPr="00F01F10">
        <w:rPr>
          <w:rFonts w:ascii="黑体" w:eastAsia="黑体" w:hAnsi="黑体"/>
          <w:sz w:val="24"/>
          <w:szCs w:val="24"/>
        </w:rPr>
        <w:t>3</w:t>
      </w:r>
      <w:r w:rsidRPr="00F01F10">
        <w:rPr>
          <w:rFonts w:ascii="黑体" w:eastAsia="黑体" w:hAnsi="黑体" w:hint="eastAsia"/>
          <w:sz w:val="24"/>
          <w:szCs w:val="24"/>
        </w:rPr>
        <w:t>：</w:t>
      </w:r>
      <w:r w:rsidR="00C97A5C" w:rsidRPr="00F01F10">
        <w:rPr>
          <w:rFonts w:ascii="黑体" w:eastAsia="黑体" w:hAnsi="黑体"/>
          <w:sz w:val="24"/>
          <w:szCs w:val="24"/>
        </w:rPr>
        <w:t>A公司的信息与沟通</w:t>
      </w:r>
      <w:bookmarkEnd w:id="23"/>
    </w:p>
    <w:p w14:paraId="3403BFA8"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问题：</w:t>
      </w:r>
    </w:p>
    <w:p w14:paraId="0EDC5F29"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color w:val="333333"/>
        </w:rPr>
        <w:t>1.根据《企业内部控制基本规范》和《企业内部控制应用指引第17号——内部信息传递》，分析、判断A公司在内部信息与沟通方面存在的缺陷，并简要说明理由。</w:t>
      </w:r>
    </w:p>
    <w:p w14:paraId="373B542E"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color w:val="333333"/>
        </w:rPr>
        <w:t>2.就B公司如何加强对境外控股公司内部信息传递的控制提出你的建议。</w:t>
      </w:r>
    </w:p>
    <w:p w14:paraId="7A192998"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参考答案：</w:t>
      </w:r>
    </w:p>
    <w:p w14:paraId="325DB7F6"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color w:val="333333"/>
        </w:rPr>
        <w:lastRenderedPageBreak/>
        <w:t>1.A公司在内部信息与沟通方面存在以下缺陷：（1）公司内部没有建立、形成一个畅通的信息收集、报告和反馈机制。（2）董事会与风险管理委员会、经理层和审计部之间没有良好的沟通。（3）董事会、董事长获取信息能力较弱，长期受经理层蒙蔽，没能及时掌握经营管理中的重大信息。</w:t>
      </w:r>
    </w:p>
    <w:p w14:paraId="50672910"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color w:val="333333"/>
        </w:rPr>
        <w:t>2.B公司可以采取以下措施加强对境外控股公司内部信息传递的控制。</w:t>
      </w:r>
    </w:p>
    <w:p w14:paraId="209F3CB5"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1）健全境外控股公司组织结构，明确高层管理人员的职责权限，建立董事会与经理层、董事长与总经理之间的权力制衡机制，充分发挥董事会下属专业委员会的作用。</w:t>
      </w:r>
    </w:p>
    <w:p w14:paraId="17E8A2D4"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2）建立对境外控股公司高层管理人员的科学的选拔任用机制、严格的监督检查机制、定期述职机制与业绩考核机制，严明纪律，严格奖惩。</w:t>
      </w:r>
    </w:p>
    <w:p w14:paraId="52BB65E6"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3）加强对境外控股公司的审计监督，建立母公司对控股子公司定期或不定期的直接审计制度。</w:t>
      </w:r>
    </w:p>
    <w:p w14:paraId="7A40FBF2"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4）加强对境外控股公司所有员工的法制教育、职业道德建设和专业胜任能力建设，不断提高其法制意识、道德水平和执业技能。</w:t>
      </w:r>
    </w:p>
    <w:p w14:paraId="2A0E797D"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5）建立与境外控股公司快捷、通畅的联系机制和信息沟通渠道，通过调动控股公司各层级人员的积极性，及时掌握控股公司经营管理中的重大信息和异常情况。</w:t>
      </w:r>
    </w:p>
    <w:p w14:paraId="1CED3E23" w14:textId="2203393C" w:rsidR="00C97A5C" w:rsidRPr="00C97A5C" w:rsidRDefault="004D4F7E" w:rsidP="00C97A5C">
      <w:pPr>
        <w:pStyle w:val="a3"/>
        <w:adjustRightInd w:val="0"/>
        <w:snapToGrid w:val="0"/>
        <w:spacing w:before="0" w:beforeAutospacing="0" w:after="0" w:afterAutospacing="0" w:line="360" w:lineRule="auto"/>
        <w:ind w:firstLineChars="200" w:firstLine="480"/>
        <w:jc w:val="both"/>
        <w:rPr>
          <w:color w:val="333333"/>
        </w:rPr>
      </w:pPr>
      <w:r>
        <w:rPr>
          <w:rFonts w:hint="eastAsia"/>
          <w:color w:val="333333"/>
        </w:rPr>
        <w:t>案例2</w:t>
      </w:r>
      <w:r>
        <w:rPr>
          <w:color w:val="333333"/>
        </w:rPr>
        <w:t>4</w:t>
      </w:r>
      <w:r>
        <w:rPr>
          <w:rFonts w:hint="eastAsia"/>
          <w:color w:val="333333"/>
        </w:rPr>
        <w:t>：</w:t>
      </w:r>
      <w:r w:rsidR="00C97A5C" w:rsidRPr="00C97A5C">
        <w:rPr>
          <w:rFonts w:hint="eastAsia"/>
          <w:color w:val="333333"/>
        </w:rPr>
        <w:t>日本瑞穗证券公司的信息系统控制</w:t>
      </w:r>
    </w:p>
    <w:p w14:paraId="54758C6C"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问题：</w:t>
      </w:r>
      <w:r w:rsidRPr="00C97A5C">
        <w:rPr>
          <w:color w:val="333333"/>
        </w:rPr>
        <w:tab/>
      </w:r>
    </w:p>
    <w:p w14:paraId="3C98DE8E"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根据《企业内部控制应用指引第</w:t>
      </w:r>
      <w:r w:rsidRPr="00C97A5C">
        <w:rPr>
          <w:color w:val="333333"/>
        </w:rPr>
        <w:t>18号——信息系统》，分析、评价日本瑞穗证券公司交易信息系统控制中存在的缺陷，并指出其关键控制点和控制措施。</w:t>
      </w:r>
    </w:p>
    <w:p w14:paraId="4F9EC6D3"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参考答案：</w:t>
      </w:r>
    </w:p>
    <w:p w14:paraId="193E734F"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color w:val="333333"/>
        </w:rPr>
        <w:t>1.存在以下缺陷：</w:t>
      </w:r>
    </w:p>
    <w:p w14:paraId="0BDA4B56"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1）日本瑞穗证券公司交易信息系统规划不合理，可能造成信息孤岛或重复建设，导致企业经营管理效率低下。信息传递效率低下会导致在股票交易出现错误的情况下，其他相关人员未能及时发现错误，公司发生巨大损失。</w:t>
      </w:r>
    </w:p>
    <w:p w14:paraId="5088C71B"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2）日本瑞穗证券公司交易信息系统开发不符合内部控制要求，授权管理不当，导致无法利用信息技术实施有效控制。在缺乏有效控制的情况下，即使在操作屏上的市场价格栏中出现了输入有误的警告，操盘手却忽视警告继续操作，这是一种内部控制失效的表现。</w:t>
      </w:r>
    </w:p>
    <w:p w14:paraId="2A4B3EBC"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color w:val="333333"/>
        </w:rPr>
        <w:lastRenderedPageBreak/>
        <w:t>2.关键控制点：日本瑞穗证券公司股票交易系统存在系统缺陷。该系统主要包括订单生成系统和订单执行系统。订单生成系统的缺陷导致日本瑞穗证券公司的经济损失。生成股票交易订单的系统是关键控制点。</w:t>
      </w:r>
    </w:p>
    <w:p w14:paraId="23B289AA"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color w:val="333333"/>
        </w:rPr>
        <w:t>3.控制措施：</w:t>
      </w:r>
    </w:p>
    <w:p w14:paraId="135810A8"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1）企业应当根据信息系统建设整体规划提出项目建设方案，明确建设目标、人员配备、职责分工、经费保障和进度安排等相关内容，按照规定的权限和程序审批后实施。</w:t>
      </w:r>
    </w:p>
    <w:p w14:paraId="3483C4F7"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2）企业信息系统归口管理部门应当组织内部各单位提出开发需求，明确关键控制点，规范开发流程，明确系统设计、编程、安装调试、验收、上线等全过程的管理要求，严格按照建设方案、开发流程和相关要求组织开发工作。</w:t>
      </w:r>
    </w:p>
    <w:p w14:paraId="3E27F998"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3）企业开发信息系统，可以采取自行开发、外购调试、业务外包等方式。选定外购调试或业务外包方式的，应当采用公开招标等形式择优确定供应商或开发单位。</w:t>
      </w:r>
    </w:p>
    <w:p w14:paraId="1E9F0919"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4）企业开发信息系统，应当将生产经营管理业务流程、关键控制点和处理规则嵌入系统程序，实现手工环境下难以实现的控制功能。</w:t>
      </w:r>
    </w:p>
    <w:p w14:paraId="562CC57E"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5）企业在系统开发过程中，应当按照不同业务的控制要求，通过信息系统中的权限管理功能控制用户的操作权限，避免将不相容职责的处理权限授予同一用户。</w:t>
      </w:r>
    </w:p>
    <w:p w14:paraId="0EA16292"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6）企业应当针对不同数据的输入方式，考虑对系统数据进行检查和校验。对于必要的后台操作，应当加强管理，建立规范的流程制度，对操作情况进行监控或者审计。</w:t>
      </w:r>
    </w:p>
    <w:p w14:paraId="604F2ED0"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7）企业应当在信息系统中设置操作日志功能，确保操作的可审计性。对于异常的或者违背内部控制要求的交易和数据，应由系统自动报告，并设置跟踪处理机制。</w:t>
      </w:r>
    </w:p>
    <w:p w14:paraId="58C3CF1B"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8）企业信息系统归口管理部门应当加强对信息系统开发全过程的跟踪管理，组织开发单位与内部各单位的日常沟通和协调，督促开发单位按照建设方案、计划进度和质量要求完成编程工作，对配备的硬件设备和系统软件进行检查验收，组织系统上线运行等。</w:t>
      </w:r>
    </w:p>
    <w:p w14:paraId="6AED2E13"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9）企业应当组织独立于开发单位的专业机构对开发完成的信息系统进行验收测试，确保在功能、性能、控制要求和安全性等方面符合开发需求。</w:t>
      </w:r>
    </w:p>
    <w:p w14:paraId="280D84FE"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lastRenderedPageBreak/>
        <w:t>（</w:t>
      </w:r>
      <w:r w:rsidRPr="00C97A5C">
        <w:rPr>
          <w:color w:val="333333"/>
        </w:rPr>
        <w:t>10）企业应当切实做好信息系统上线的各项准备工作，培训业务操作人员和系统管理人员，制定科学的上线计划和新旧系统转换方案，考虑应急预案，确保新旧系统顺利切换和平稳衔接。系统上线涉及数据迁移的，还应制定详细的数据迁移计划。</w:t>
      </w:r>
    </w:p>
    <w:p w14:paraId="581CF76F" w14:textId="5D891CD7" w:rsidR="00C97A5C" w:rsidRPr="00F01F10" w:rsidRDefault="004D4F7E" w:rsidP="00F01F10">
      <w:pPr>
        <w:pStyle w:val="3"/>
        <w:rPr>
          <w:rFonts w:ascii="黑体" w:eastAsia="黑体" w:hAnsi="黑体"/>
          <w:sz w:val="24"/>
          <w:szCs w:val="24"/>
        </w:rPr>
      </w:pPr>
      <w:bookmarkStart w:id="24" w:name="_Toc112172063"/>
      <w:r w:rsidRPr="00F01F10">
        <w:rPr>
          <w:rFonts w:ascii="黑体" w:eastAsia="黑体" w:hAnsi="黑体" w:hint="eastAsia"/>
          <w:sz w:val="24"/>
          <w:szCs w:val="24"/>
        </w:rPr>
        <w:t>案例2</w:t>
      </w:r>
      <w:r w:rsidR="00F37237">
        <w:rPr>
          <w:rFonts w:ascii="黑体" w:eastAsia="黑体" w:hAnsi="黑体"/>
          <w:sz w:val="24"/>
          <w:szCs w:val="24"/>
        </w:rPr>
        <w:t>4</w:t>
      </w:r>
      <w:r w:rsidRPr="00F01F10">
        <w:rPr>
          <w:rFonts w:ascii="黑体" w:eastAsia="黑体" w:hAnsi="黑体" w:hint="eastAsia"/>
          <w:sz w:val="24"/>
          <w:szCs w:val="24"/>
        </w:rPr>
        <w:t>：</w:t>
      </w:r>
      <w:r w:rsidR="00C97A5C" w:rsidRPr="00F01F10">
        <w:rPr>
          <w:rFonts w:ascii="黑体" w:eastAsia="黑体" w:hAnsi="黑体"/>
          <w:sz w:val="24"/>
          <w:szCs w:val="24"/>
        </w:rPr>
        <w:t>A公司的内部控制缺陷</w:t>
      </w:r>
      <w:bookmarkEnd w:id="24"/>
    </w:p>
    <w:p w14:paraId="6A4D4E77"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问题：</w:t>
      </w:r>
    </w:p>
    <w:p w14:paraId="32C80FB6"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根据上述事项，</w:t>
      </w:r>
      <w:proofErr w:type="gramStart"/>
      <w:r w:rsidRPr="00C97A5C">
        <w:rPr>
          <w:rFonts w:hint="eastAsia"/>
          <w:color w:val="333333"/>
        </w:rPr>
        <w:t>分业务</w:t>
      </w:r>
      <w:proofErr w:type="gramEnd"/>
      <w:r w:rsidRPr="00C97A5C">
        <w:rPr>
          <w:rFonts w:hint="eastAsia"/>
          <w:color w:val="333333"/>
        </w:rPr>
        <w:t>分析其内部控制是否存在缺陷，如果存在缺陷，请说明理由。</w:t>
      </w:r>
    </w:p>
    <w:p w14:paraId="400F82D9"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参考答案：</w:t>
      </w:r>
    </w:p>
    <w:p w14:paraId="2E1B8E7B"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1）事项（1）存在缺陷。</w:t>
      </w:r>
    </w:p>
    <w:p w14:paraId="7235E1BE"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w:t>
      </w:r>
      <w:r w:rsidRPr="00C97A5C">
        <w:rPr>
          <w:color w:val="333333"/>
        </w:rPr>
        <w:t>1）总经理过于冒进，在对期货交易不是十分了解的情况下，就进行大额投资。公司对大额投资缺乏相关控制，未对期货交易的风险进行正确评估。2）董事会未履行相关的职责，没有很好地监督管理层。重大投资项目应当按照规定的权限和程序实行集体决策或者联签制度。</w:t>
      </w:r>
    </w:p>
    <w:p w14:paraId="182226CB"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2）事项（2）存在缺陷。</w:t>
      </w:r>
    </w:p>
    <w:p w14:paraId="7136FB75"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理由：授权审批应该按规定程序进行办理，避免越级审批。如有特殊情况，也应取得临时授权。本案例在没有获得临时授权的情况下产生了越级审批，且没有经过严格审核。</w:t>
      </w:r>
    </w:p>
    <w:p w14:paraId="65599CCE"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3）事项（3）存在缺陷。</w:t>
      </w:r>
    </w:p>
    <w:p w14:paraId="39E17ADB"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理由：采购环节的验货付款控制未得到执行。企业应当建立科学的供应商评估与准入制度以及严格的采购验收制度。</w:t>
      </w:r>
    </w:p>
    <w:p w14:paraId="1A32EC3E"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4）事项（4）存在缺陷。</w:t>
      </w:r>
    </w:p>
    <w:p w14:paraId="2E9DC158"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w:t>
      </w:r>
      <w:r w:rsidRPr="00C97A5C">
        <w:rPr>
          <w:color w:val="333333"/>
        </w:rPr>
        <w:t>1）按照内部控制制度的要求，出纳人员只是不得兼任收入、支出、费用、债权债务账目的登记工作，但可以兼任现金日记账等账目登记工作。2）严禁将办理资金业务的相关印章和票据集中给一人保管。</w:t>
      </w:r>
    </w:p>
    <w:p w14:paraId="750F16FF"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5）事项（5）存在缺陷。</w:t>
      </w:r>
    </w:p>
    <w:p w14:paraId="5EF22028"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lastRenderedPageBreak/>
        <w:t>理由：</w:t>
      </w:r>
      <w:r w:rsidRPr="00C97A5C">
        <w:rPr>
          <w:color w:val="333333"/>
        </w:rPr>
        <w:t>1）投资决策控制存在缺陷，重大投资项目应当按照规定的权限和程序实行集体决策或联签制度。2）未对投资项目进行可行性研究。3）资产投出环节的控制存在缺陷。没有投资合同，不得对外拨付资金。</w:t>
      </w:r>
    </w:p>
    <w:p w14:paraId="09C8918D"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6）事项（6）存在缺陷。</w:t>
      </w:r>
    </w:p>
    <w:p w14:paraId="6E847ABA"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理由：对于重大担保业务，应当报经董事会或类似权力机构批准。</w:t>
      </w:r>
    </w:p>
    <w:p w14:paraId="6B652DB9"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7）事项（7）存在缺陷。</w:t>
      </w:r>
    </w:p>
    <w:p w14:paraId="239811AA"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 xml:space="preserve">理由：公司应当结合内部监督情况，由内部控制评价机构定期对内部控制的有效性进行自我评价，并编制内部控制评价报告，报送企业经理层、董事会和监事会，而非仅进行日常监控和口头汇报。　　</w:t>
      </w:r>
    </w:p>
    <w:p w14:paraId="1BEA5930"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8）事项（8）存在缺陷。</w:t>
      </w:r>
    </w:p>
    <w:p w14:paraId="086C4348"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w:t>
      </w:r>
      <w:r w:rsidRPr="00C97A5C">
        <w:rPr>
          <w:color w:val="333333"/>
        </w:rPr>
        <w:t>1）存货盘点的内部控制制度没有得到很好地执行。即使出现大雪天气，也应当在雪融化后，及时盘点或者实行替代审计程序，而不能直接确认会计记录的数据。2）根据内部控制制度的要求，企业至少应当于每年年度终了开展全面盘点清查。</w:t>
      </w:r>
    </w:p>
    <w:p w14:paraId="79877BEE" w14:textId="3C4094DF" w:rsidR="00C97A5C" w:rsidRPr="00F37237" w:rsidRDefault="004D4F7E" w:rsidP="00F37237">
      <w:pPr>
        <w:pStyle w:val="3"/>
        <w:rPr>
          <w:rFonts w:ascii="黑体" w:eastAsia="黑体" w:hAnsi="黑体"/>
          <w:sz w:val="24"/>
          <w:szCs w:val="24"/>
        </w:rPr>
      </w:pPr>
      <w:bookmarkStart w:id="25" w:name="_Toc112172064"/>
      <w:r w:rsidRPr="00F37237">
        <w:rPr>
          <w:rFonts w:ascii="黑体" w:eastAsia="黑体" w:hAnsi="黑体" w:hint="eastAsia"/>
          <w:sz w:val="24"/>
          <w:szCs w:val="24"/>
        </w:rPr>
        <w:t>案例2</w:t>
      </w:r>
      <w:r w:rsidR="00F37237">
        <w:rPr>
          <w:rFonts w:ascii="黑体" w:eastAsia="黑体" w:hAnsi="黑体"/>
          <w:sz w:val="24"/>
          <w:szCs w:val="24"/>
        </w:rPr>
        <w:t>5</w:t>
      </w:r>
      <w:r w:rsidRPr="00F37237">
        <w:rPr>
          <w:rFonts w:ascii="黑体" w:eastAsia="黑体" w:hAnsi="黑体" w:hint="eastAsia"/>
          <w:sz w:val="24"/>
          <w:szCs w:val="24"/>
        </w:rPr>
        <w:t>：</w:t>
      </w:r>
      <w:r w:rsidR="00C97A5C" w:rsidRPr="00F37237">
        <w:rPr>
          <w:rFonts w:ascii="黑体" w:eastAsia="黑体" w:hAnsi="黑体" w:hint="eastAsia"/>
          <w:sz w:val="24"/>
          <w:szCs w:val="24"/>
        </w:rPr>
        <w:t>安平公司的内部控制评价方案</w:t>
      </w:r>
      <w:bookmarkEnd w:id="25"/>
    </w:p>
    <w:p w14:paraId="5DAA5684"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问题：</w:t>
      </w:r>
    </w:p>
    <w:p w14:paraId="6AC5E5EF"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根据《企业内部控制基本规范》及其配套指引，逐项判断安平公司内部控制评价方案中的</w:t>
      </w:r>
      <w:r w:rsidRPr="00C97A5C">
        <w:rPr>
          <w:color w:val="333333"/>
        </w:rPr>
        <w:t>1至4项内容是否存在不当之处；存在不当之处的，请逐项指出不当之处，并简要说明理由。</w:t>
      </w:r>
    </w:p>
    <w:p w14:paraId="4512F5D0"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参考答案：</w:t>
      </w:r>
    </w:p>
    <w:p w14:paraId="036D0D4D"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1）第1项工作存在不当之处。</w:t>
      </w:r>
    </w:p>
    <w:p w14:paraId="09A3E332"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不当之处：经理层对内部控制有效性负全责，审计部审定内部控制重大缺陷。</w:t>
      </w:r>
    </w:p>
    <w:p w14:paraId="6F4FACAF"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理由：董事会对建立健全和有效实施内部控制负责，并审定内部控制重大缺陷。</w:t>
      </w:r>
    </w:p>
    <w:p w14:paraId="5EA0A644"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2）第2项工作存在不当之处。</w:t>
      </w:r>
    </w:p>
    <w:p w14:paraId="54175FBC"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不当之处</w:t>
      </w:r>
      <w:r w:rsidRPr="00C97A5C">
        <w:rPr>
          <w:color w:val="333333"/>
        </w:rPr>
        <w:t>1：组织架构相关内容不纳入公司层面评价范围。</w:t>
      </w:r>
    </w:p>
    <w:p w14:paraId="1FC091C1"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理由：组织架构是内部环境的重要组成部分，直接影响内部控制的建立健全和有效实施，应当纳入公司层面评价范围。</w:t>
      </w:r>
    </w:p>
    <w:p w14:paraId="39A46684"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lastRenderedPageBreak/>
        <w:t>不当之处</w:t>
      </w:r>
      <w:r w:rsidRPr="00C97A5C">
        <w:rPr>
          <w:color w:val="333333"/>
        </w:rPr>
        <w:t>2：在实施业务层面评价时，主要评价证券交易所重点关注的资金活动、对外担保、关联交易等业务或事项。</w:t>
      </w:r>
    </w:p>
    <w:p w14:paraId="72FDA1C7"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理由：业务层面的评价应当涵盖公司各种业务和事项，体现全面性原则，而不能仅限于证券交易所关注的少数重点业务或事项。</w:t>
      </w:r>
    </w:p>
    <w:p w14:paraId="0734489B"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不当之处</w:t>
      </w:r>
      <w:r w:rsidRPr="00C97A5C">
        <w:rPr>
          <w:color w:val="333333"/>
        </w:rPr>
        <w:t>3：为了减轻评价工作对正常经营活动的影响，在本次内部控制评价中，仅采用调查问卷法和专题讨论法实施测试和评价。</w:t>
      </w:r>
    </w:p>
    <w:p w14:paraId="7BD218C7"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理由：评价过程中应充分考虑所收集证据的适当性与充分性，综合运用评价方法。</w:t>
      </w:r>
    </w:p>
    <w:p w14:paraId="460D8C85"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3）第3项工作存在不当之处。</w:t>
      </w:r>
    </w:p>
    <w:p w14:paraId="10D49878"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不当之处</w:t>
      </w:r>
      <w:r w:rsidRPr="00C97A5C">
        <w:rPr>
          <w:color w:val="333333"/>
        </w:rPr>
        <w:t>1：现场评价报告</w:t>
      </w:r>
      <w:proofErr w:type="gramStart"/>
      <w:r w:rsidRPr="00C97A5C">
        <w:rPr>
          <w:color w:val="333333"/>
        </w:rPr>
        <w:t>无须和</w:t>
      </w:r>
      <w:proofErr w:type="gramEnd"/>
      <w:r w:rsidRPr="00C97A5C">
        <w:rPr>
          <w:color w:val="333333"/>
        </w:rPr>
        <w:t>被评价单位沟通。</w:t>
      </w:r>
    </w:p>
    <w:p w14:paraId="46E9F861"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理由：现场评价报告应向被评价单位通报。</w:t>
      </w:r>
    </w:p>
    <w:p w14:paraId="18EA7157"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不当之处</w:t>
      </w:r>
      <w:r w:rsidRPr="00C97A5C">
        <w:rPr>
          <w:color w:val="333333"/>
        </w:rPr>
        <w:t>2：现场评价报告只需评价工作组负责人审核、签字确认后报审计部。</w:t>
      </w:r>
    </w:p>
    <w:p w14:paraId="750AD0BF"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理由：现场评价报告经评价工作组负责人审核、签字确认后，应由被评价单位相关责任人签字确认，再提交审计部。</w:t>
      </w:r>
    </w:p>
    <w:p w14:paraId="3AF72DCB"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w:t>
      </w:r>
      <w:r w:rsidRPr="00C97A5C">
        <w:rPr>
          <w:color w:val="333333"/>
        </w:rPr>
        <w:t xml:space="preserve">4）第4项工作存在不当之处。 </w:t>
      </w:r>
    </w:p>
    <w:p w14:paraId="37A488B5"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不当之处：对于重大缺陷及其整改情况，只进行内部通报，不对外披露。</w:t>
      </w:r>
      <w:r w:rsidRPr="00C97A5C">
        <w:rPr>
          <w:color w:val="333333"/>
        </w:rPr>
        <w:t xml:space="preserve"> </w:t>
      </w:r>
    </w:p>
    <w:p w14:paraId="3E1D57ED"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r w:rsidRPr="00C97A5C">
        <w:rPr>
          <w:rFonts w:hint="eastAsia"/>
          <w:color w:val="333333"/>
        </w:rPr>
        <w:t>理由：对重大缺陷及其整改情况，必须对外披露。</w:t>
      </w:r>
    </w:p>
    <w:p w14:paraId="06C30694" w14:textId="77777777" w:rsidR="00C97A5C" w:rsidRPr="00C97A5C" w:rsidRDefault="00C97A5C" w:rsidP="00C97A5C">
      <w:pPr>
        <w:pStyle w:val="a3"/>
        <w:adjustRightInd w:val="0"/>
        <w:snapToGrid w:val="0"/>
        <w:spacing w:before="0" w:beforeAutospacing="0" w:after="0" w:afterAutospacing="0" w:line="360" w:lineRule="auto"/>
        <w:ind w:firstLineChars="200" w:firstLine="480"/>
        <w:jc w:val="both"/>
        <w:rPr>
          <w:color w:val="333333"/>
        </w:rPr>
      </w:pPr>
    </w:p>
    <w:p w14:paraId="57D9BD76" w14:textId="77777777" w:rsidR="00C97A5C" w:rsidRPr="00C97A5C" w:rsidRDefault="00C97A5C" w:rsidP="00C97A5C">
      <w:pPr>
        <w:pStyle w:val="a3"/>
        <w:widowControl w:val="0"/>
        <w:adjustRightInd w:val="0"/>
        <w:snapToGrid w:val="0"/>
        <w:spacing w:before="0" w:beforeAutospacing="0" w:after="0" w:afterAutospacing="0" w:line="360" w:lineRule="auto"/>
        <w:ind w:firstLineChars="200" w:firstLine="480"/>
        <w:jc w:val="both"/>
        <w:rPr>
          <w:color w:val="333333"/>
        </w:rPr>
      </w:pPr>
    </w:p>
    <w:sectPr w:rsidR="00C97A5C" w:rsidRPr="00C97A5C" w:rsidSect="00F3723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B3E4" w14:textId="77777777" w:rsidR="006465F2" w:rsidRDefault="006465F2" w:rsidP="00882C67">
      <w:r>
        <w:separator/>
      </w:r>
    </w:p>
  </w:endnote>
  <w:endnote w:type="continuationSeparator" w:id="0">
    <w:p w14:paraId="7F0A15A2" w14:textId="77777777" w:rsidR="006465F2" w:rsidRDefault="006465F2" w:rsidP="0088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MT">
    <w:altName w:val="HGB1_CNK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9058714"/>
      <w:docPartObj>
        <w:docPartGallery w:val="Page Numbers (Bottom of Page)"/>
        <w:docPartUnique/>
      </w:docPartObj>
    </w:sdtPr>
    <w:sdtContent>
      <w:p w14:paraId="71E316C3" w14:textId="361E4418" w:rsidR="00882C67" w:rsidRDefault="00882C67">
        <w:pPr>
          <w:pStyle w:val="a6"/>
          <w:jc w:val="center"/>
        </w:pPr>
        <w:r w:rsidRPr="004D4F7E">
          <w:rPr>
            <w:rFonts w:ascii="Times New Roman" w:hAnsi="Times New Roman" w:cs="Times New Roman"/>
          </w:rPr>
          <w:fldChar w:fldCharType="begin"/>
        </w:r>
        <w:r w:rsidRPr="004D4F7E">
          <w:rPr>
            <w:rFonts w:ascii="Times New Roman" w:hAnsi="Times New Roman" w:cs="Times New Roman"/>
          </w:rPr>
          <w:instrText>PAGE   \* MERGEFORMAT</w:instrText>
        </w:r>
        <w:r w:rsidRPr="004D4F7E">
          <w:rPr>
            <w:rFonts w:ascii="Times New Roman" w:hAnsi="Times New Roman" w:cs="Times New Roman"/>
          </w:rPr>
          <w:fldChar w:fldCharType="separate"/>
        </w:r>
        <w:r w:rsidRPr="004D4F7E">
          <w:rPr>
            <w:rFonts w:ascii="Times New Roman" w:hAnsi="Times New Roman" w:cs="Times New Roman"/>
            <w:lang w:val="zh-CN"/>
          </w:rPr>
          <w:t>2</w:t>
        </w:r>
        <w:r w:rsidRPr="004D4F7E">
          <w:rPr>
            <w:rFonts w:ascii="Times New Roman" w:hAnsi="Times New Roman" w:cs="Times New Roman"/>
          </w:rPr>
          <w:fldChar w:fldCharType="end"/>
        </w:r>
      </w:p>
    </w:sdtContent>
  </w:sdt>
  <w:p w14:paraId="2DDFC9A4" w14:textId="77777777" w:rsidR="00882C67" w:rsidRDefault="00882C6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743010"/>
      <w:docPartObj>
        <w:docPartGallery w:val="Page Numbers (Bottom of Page)"/>
        <w:docPartUnique/>
      </w:docPartObj>
    </w:sdtPr>
    <w:sdtContent>
      <w:p w14:paraId="556941B8" w14:textId="02055C01" w:rsidR="00F37237" w:rsidRDefault="00F37237">
        <w:pPr>
          <w:pStyle w:val="a6"/>
          <w:jc w:val="center"/>
        </w:pPr>
        <w:r>
          <w:fldChar w:fldCharType="begin"/>
        </w:r>
        <w:r>
          <w:instrText>PAGE   \* MERGEFORMAT</w:instrText>
        </w:r>
        <w:r>
          <w:fldChar w:fldCharType="separate"/>
        </w:r>
        <w:r>
          <w:rPr>
            <w:lang w:val="zh-CN"/>
          </w:rPr>
          <w:t>2</w:t>
        </w:r>
        <w:r>
          <w:fldChar w:fldCharType="end"/>
        </w:r>
      </w:p>
    </w:sdtContent>
  </w:sdt>
  <w:p w14:paraId="74815A7A" w14:textId="77777777" w:rsidR="00F37237" w:rsidRDefault="00F3723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610E" w14:textId="77777777" w:rsidR="006465F2" w:rsidRDefault="006465F2" w:rsidP="00882C67">
      <w:r>
        <w:separator/>
      </w:r>
    </w:p>
  </w:footnote>
  <w:footnote w:type="continuationSeparator" w:id="0">
    <w:p w14:paraId="0FD6D279" w14:textId="77777777" w:rsidR="006465F2" w:rsidRDefault="006465F2" w:rsidP="00882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A6924"/>
    <w:multiLevelType w:val="singleLevel"/>
    <w:tmpl w:val="266A6924"/>
    <w:lvl w:ilvl="0">
      <w:start w:val="3"/>
      <w:numFmt w:val="decimal"/>
      <w:suff w:val="nothing"/>
      <w:lvlText w:val="（%1）"/>
      <w:lvlJc w:val="left"/>
    </w:lvl>
  </w:abstractNum>
  <w:num w:numId="1" w16cid:durableId="2043823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0D8"/>
    <w:rsid w:val="00162150"/>
    <w:rsid w:val="001C24FF"/>
    <w:rsid w:val="003F219B"/>
    <w:rsid w:val="00403FA6"/>
    <w:rsid w:val="004D4F7E"/>
    <w:rsid w:val="005874CA"/>
    <w:rsid w:val="005978F4"/>
    <w:rsid w:val="006465F2"/>
    <w:rsid w:val="00661144"/>
    <w:rsid w:val="006B0200"/>
    <w:rsid w:val="0077784B"/>
    <w:rsid w:val="007A03FB"/>
    <w:rsid w:val="007C38EA"/>
    <w:rsid w:val="00882C67"/>
    <w:rsid w:val="008A6087"/>
    <w:rsid w:val="008D6E59"/>
    <w:rsid w:val="008E4EB5"/>
    <w:rsid w:val="009B0749"/>
    <w:rsid w:val="00AB01A9"/>
    <w:rsid w:val="00AE1C2E"/>
    <w:rsid w:val="00B570D8"/>
    <w:rsid w:val="00C15692"/>
    <w:rsid w:val="00C643AE"/>
    <w:rsid w:val="00C923F5"/>
    <w:rsid w:val="00C97A5C"/>
    <w:rsid w:val="00E34431"/>
    <w:rsid w:val="00E61F6C"/>
    <w:rsid w:val="00E6394B"/>
    <w:rsid w:val="00E70A81"/>
    <w:rsid w:val="00F01F10"/>
    <w:rsid w:val="00F37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BA41C"/>
  <w15:chartTrackingRefBased/>
  <w15:docId w15:val="{C411F549-6FCD-48FB-8992-975F87906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D4F7E"/>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D4F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4D4F7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70D8"/>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882C6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82C67"/>
    <w:rPr>
      <w:sz w:val="18"/>
      <w:szCs w:val="18"/>
    </w:rPr>
  </w:style>
  <w:style w:type="paragraph" w:styleId="a6">
    <w:name w:val="footer"/>
    <w:basedOn w:val="a"/>
    <w:link w:val="a7"/>
    <w:uiPriority w:val="99"/>
    <w:unhideWhenUsed/>
    <w:rsid w:val="00882C67"/>
    <w:pPr>
      <w:tabs>
        <w:tab w:val="center" w:pos="4153"/>
        <w:tab w:val="right" w:pos="8306"/>
      </w:tabs>
      <w:snapToGrid w:val="0"/>
      <w:jc w:val="left"/>
    </w:pPr>
    <w:rPr>
      <w:sz w:val="18"/>
      <w:szCs w:val="18"/>
    </w:rPr>
  </w:style>
  <w:style w:type="character" w:customStyle="1" w:styleId="a7">
    <w:name w:val="页脚 字符"/>
    <w:basedOn w:val="a0"/>
    <w:link w:val="a6"/>
    <w:uiPriority w:val="99"/>
    <w:rsid w:val="00882C67"/>
    <w:rPr>
      <w:sz w:val="18"/>
      <w:szCs w:val="18"/>
    </w:rPr>
  </w:style>
  <w:style w:type="paragraph" w:styleId="a8">
    <w:name w:val="List Paragraph"/>
    <w:basedOn w:val="a"/>
    <w:uiPriority w:val="34"/>
    <w:qFormat/>
    <w:rsid w:val="006B0200"/>
    <w:pPr>
      <w:ind w:firstLineChars="200" w:firstLine="420"/>
    </w:pPr>
    <w:rPr>
      <w:szCs w:val="24"/>
    </w:rPr>
  </w:style>
  <w:style w:type="character" w:customStyle="1" w:styleId="10">
    <w:name w:val="标题 1 字符"/>
    <w:basedOn w:val="a0"/>
    <w:link w:val="1"/>
    <w:uiPriority w:val="9"/>
    <w:rsid w:val="004D4F7E"/>
    <w:rPr>
      <w:b/>
      <w:bCs/>
      <w:kern w:val="44"/>
      <w:sz w:val="44"/>
      <w:szCs w:val="44"/>
    </w:rPr>
  </w:style>
  <w:style w:type="character" w:customStyle="1" w:styleId="20">
    <w:name w:val="标题 2 字符"/>
    <w:basedOn w:val="a0"/>
    <w:link w:val="2"/>
    <w:uiPriority w:val="9"/>
    <w:rsid w:val="004D4F7E"/>
    <w:rPr>
      <w:rFonts w:asciiTheme="majorHAnsi" w:eastAsiaTheme="majorEastAsia" w:hAnsiTheme="majorHAnsi" w:cstheme="majorBidi"/>
      <w:b/>
      <w:bCs/>
      <w:sz w:val="32"/>
      <w:szCs w:val="32"/>
    </w:rPr>
  </w:style>
  <w:style w:type="character" w:customStyle="1" w:styleId="30">
    <w:name w:val="标题 3 字符"/>
    <w:basedOn w:val="a0"/>
    <w:link w:val="3"/>
    <w:uiPriority w:val="9"/>
    <w:rsid w:val="004D4F7E"/>
    <w:rPr>
      <w:b/>
      <w:bCs/>
      <w:sz w:val="32"/>
      <w:szCs w:val="32"/>
    </w:rPr>
  </w:style>
  <w:style w:type="paragraph" w:styleId="TOC">
    <w:name w:val="TOC Heading"/>
    <w:basedOn w:val="1"/>
    <w:next w:val="a"/>
    <w:uiPriority w:val="39"/>
    <w:unhideWhenUsed/>
    <w:qFormat/>
    <w:rsid w:val="00F37237"/>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F37237"/>
    <w:pPr>
      <w:ind w:leftChars="200" w:left="420"/>
    </w:pPr>
  </w:style>
  <w:style w:type="paragraph" w:styleId="TOC1">
    <w:name w:val="toc 1"/>
    <w:basedOn w:val="a"/>
    <w:next w:val="a"/>
    <w:autoRedefine/>
    <w:uiPriority w:val="39"/>
    <w:unhideWhenUsed/>
    <w:rsid w:val="00F37237"/>
  </w:style>
  <w:style w:type="paragraph" w:styleId="TOC3">
    <w:name w:val="toc 3"/>
    <w:basedOn w:val="a"/>
    <w:next w:val="a"/>
    <w:autoRedefine/>
    <w:uiPriority w:val="39"/>
    <w:unhideWhenUsed/>
    <w:rsid w:val="00F37237"/>
    <w:pPr>
      <w:ind w:leftChars="400" w:left="840"/>
    </w:pPr>
  </w:style>
  <w:style w:type="character" w:styleId="a9">
    <w:name w:val="Hyperlink"/>
    <w:basedOn w:val="a0"/>
    <w:uiPriority w:val="99"/>
    <w:unhideWhenUsed/>
    <w:rsid w:val="00F372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67AD7-7151-4497-8A1F-B09A6D44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4879</Words>
  <Characters>27811</Characters>
  <Application>Microsoft Office Word</Application>
  <DocSecurity>0</DocSecurity>
  <Lines>231</Lines>
  <Paragraphs>65</Paragraphs>
  <ScaleCrop>false</ScaleCrop>
  <Company/>
  <LinksUpToDate>false</LinksUpToDate>
  <CharactersWithSpaces>32625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晓芬 黄</dc:creator>
  <cp:keywords/>
  <dc:description/>
  <cp:lastModifiedBy>传有 徐</cp:lastModifiedBy>
  <cp:revision>9</cp:revision>
  <dcterms:created xsi:type="dcterms:W3CDTF">2020-09-29T12:39:00Z</dcterms:created>
  <dcterms:modified xsi:type="dcterms:W3CDTF">2023-11-23T06:41:00Z</dcterms:modified>
</cp:coreProperties>
</file>